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drawings/drawing1.xml" ContentType="application/vnd.openxmlformats-officedocument.drawingml.chartshapes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048F" w:rsidRPr="00831EBF" w:rsidRDefault="0005048F" w:rsidP="0005048F">
      <w:pPr>
        <w:spacing w:after="0" w:line="240" w:lineRule="auto"/>
        <w:ind w:left="900" w:right="600"/>
        <w:jc w:val="center"/>
        <w:rPr>
          <w:rFonts w:ascii="Times New Roman" w:eastAsia="Times New Roman" w:hAnsi="Times New Roman"/>
          <w:b/>
          <w:bCs/>
          <w:caps/>
          <w:sz w:val="28"/>
          <w:szCs w:val="28"/>
          <w:lang w:eastAsia="ru-RU"/>
        </w:rPr>
      </w:pPr>
      <w:r w:rsidRPr="00831EBF">
        <w:rPr>
          <w:rFonts w:ascii="Times New Roman" w:eastAsia="Times New Roman" w:hAnsi="Times New Roman"/>
          <w:b/>
          <w:bCs/>
          <w:caps/>
          <w:sz w:val="28"/>
          <w:szCs w:val="28"/>
          <w:lang w:eastAsia="ru-RU"/>
        </w:rPr>
        <w:t xml:space="preserve">КОМПЛЕКСНАЯ ОЦЕНКА РЕЗУЛЬТАТИВНОСТИ И ЭФФЕКТИВНОСТИ </w:t>
      </w:r>
      <w:r w:rsidR="008511E3">
        <w:rPr>
          <w:rFonts w:ascii="Times New Roman" w:eastAsia="Times New Roman" w:hAnsi="Times New Roman"/>
          <w:b/>
          <w:bCs/>
          <w:caps/>
          <w:sz w:val="28"/>
          <w:szCs w:val="28"/>
          <w:lang w:eastAsia="ru-RU"/>
        </w:rPr>
        <w:t>МУНИЦИПАЛЬНЫХ</w:t>
      </w:r>
      <w:r w:rsidR="00654E5D">
        <w:rPr>
          <w:rFonts w:ascii="Times New Roman" w:eastAsia="Times New Roman" w:hAnsi="Times New Roman"/>
          <w:b/>
          <w:bCs/>
          <w:caps/>
          <w:sz w:val="28"/>
          <w:szCs w:val="28"/>
          <w:lang w:eastAsia="ru-RU"/>
        </w:rPr>
        <w:t>, ГОРОДСКИХ, ВЕДОМСТВЕННЫХ, АДРЕСНЫХ ЦЕЛЕВЫХ ПРОГРАММ</w:t>
      </w:r>
      <w:r w:rsidR="008511E3">
        <w:rPr>
          <w:rFonts w:ascii="Times New Roman" w:eastAsia="Times New Roman" w:hAnsi="Times New Roman"/>
          <w:b/>
          <w:bCs/>
          <w:caps/>
          <w:sz w:val="28"/>
          <w:szCs w:val="28"/>
          <w:lang w:eastAsia="ru-RU"/>
        </w:rPr>
        <w:t xml:space="preserve"> </w:t>
      </w:r>
      <w:r w:rsidRPr="00831EBF">
        <w:rPr>
          <w:rFonts w:ascii="Times New Roman" w:eastAsia="Times New Roman" w:hAnsi="Times New Roman"/>
          <w:b/>
          <w:bCs/>
          <w:caps/>
          <w:sz w:val="28"/>
          <w:szCs w:val="28"/>
          <w:lang w:eastAsia="ru-RU"/>
        </w:rPr>
        <w:t>В 201</w:t>
      </w:r>
      <w:r w:rsidR="008511E3">
        <w:rPr>
          <w:rFonts w:ascii="Times New Roman" w:eastAsia="Times New Roman" w:hAnsi="Times New Roman"/>
          <w:b/>
          <w:bCs/>
          <w:caps/>
          <w:sz w:val="28"/>
          <w:szCs w:val="28"/>
          <w:lang w:eastAsia="ru-RU"/>
        </w:rPr>
        <w:t>4</w:t>
      </w:r>
      <w:r w:rsidRPr="00831EBF">
        <w:rPr>
          <w:rFonts w:ascii="Times New Roman" w:eastAsia="Times New Roman" w:hAnsi="Times New Roman"/>
          <w:b/>
          <w:bCs/>
          <w:caps/>
          <w:sz w:val="28"/>
          <w:szCs w:val="28"/>
          <w:lang w:eastAsia="ru-RU"/>
        </w:rPr>
        <w:t xml:space="preserve"> ГОДУ</w:t>
      </w:r>
    </w:p>
    <w:p w:rsidR="0005048F" w:rsidRPr="00831EBF" w:rsidRDefault="0005048F" w:rsidP="0005048F">
      <w:pPr>
        <w:spacing w:after="0" w:line="240" w:lineRule="auto"/>
        <w:ind w:left="900" w:right="600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05048F" w:rsidRPr="00831EBF" w:rsidRDefault="0005048F" w:rsidP="00E32D19">
      <w:pPr>
        <w:spacing w:after="0" w:line="240" w:lineRule="auto"/>
        <w:ind w:right="-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31EBF">
        <w:rPr>
          <w:rFonts w:ascii="Times New Roman" w:eastAsia="Times New Roman" w:hAnsi="Times New Roman"/>
          <w:sz w:val="24"/>
          <w:szCs w:val="24"/>
          <w:lang w:eastAsia="ru-RU"/>
        </w:rPr>
        <w:t>В 201</w:t>
      </w:r>
      <w:r w:rsidR="0004675A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Pr="00831EBF">
        <w:rPr>
          <w:rFonts w:ascii="Times New Roman" w:eastAsia="Times New Roman" w:hAnsi="Times New Roman"/>
          <w:sz w:val="24"/>
          <w:szCs w:val="24"/>
          <w:lang w:eastAsia="ru-RU"/>
        </w:rPr>
        <w:t xml:space="preserve"> году</w:t>
      </w:r>
      <w:r w:rsidR="00CE0C16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производилась</w:t>
      </w:r>
      <w:r w:rsidRPr="00831EBF">
        <w:rPr>
          <w:rFonts w:ascii="Times New Roman" w:eastAsia="Times New Roman" w:hAnsi="Times New Roman"/>
          <w:sz w:val="24"/>
          <w:szCs w:val="24"/>
          <w:lang w:eastAsia="ru-RU"/>
        </w:rPr>
        <w:t xml:space="preserve"> работа по разработке</w:t>
      </w:r>
      <w:r w:rsidR="00656BF0" w:rsidRPr="00831EBF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831EBF">
        <w:rPr>
          <w:rFonts w:ascii="Times New Roman" w:eastAsia="Times New Roman" w:hAnsi="Times New Roman"/>
          <w:sz w:val="24"/>
          <w:szCs w:val="24"/>
          <w:lang w:eastAsia="ru-RU"/>
        </w:rPr>
        <w:t xml:space="preserve"> реализации </w:t>
      </w:r>
      <w:r w:rsidR="00656BF0" w:rsidRPr="00831EBF">
        <w:rPr>
          <w:rFonts w:ascii="Times New Roman" w:eastAsia="Times New Roman" w:hAnsi="Times New Roman"/>
          <w:sz w:val="24"/>
          <w:szCs w:val="24"/>
          <w:lang w:eastAsia="ru-RU"/>
        </w:rPr>
        <w:t>и оценке</w:t>
      </w:r>
      <w:r w:rsidR="00654E5D">
        <w:rPr>
          <w:rFonts w:ascii="Times New Roman" w:eastAsia="Times New Roman" w:hAnsi="Times New Roman"/>
          <w:sz w:val="24"/>
          <w:szCs w:val="24"/>
          <w:lang w:eastAsia="ru-RU"/>
        </w:rPr>
        <w:t xml:space="preserve"> муниципальных, </w:t>
      </w:r>
      <w:r w:rsidRPr="00831EBF">
        <w:rPr>
          <w:rFonts w:ascii="Times New Roman" w:eastAsia="Times New Roman" w:hAnsi="Times New Roman"/>
          <w:sz w:val="24"/>
          <w:szCs w:val="24"/>
          <w:lang w:eastAsia="ru-RU"/>
        </w:rPr>
        <w:t>городских</w:t>
      </w:r>
      <w:r w:rsidR="00654E5D">
        <w:rPr>
          <w:rFonts w:ascii="Times New Roman" w:eastAsia="Times New Roman" w:hAnsi="Times New Roman"/>
          <w:sz w:val="24"/>
          <w:szCs w:val="24"/>
          <w:lang w:eastAsia="ru-RU"/>
        </w:rPr>
        <w:t>, ведомственных, городских адресных</w:t>
      </w:r>
      <w:r w:rsidRPr="00831EBF">
        <w:rPr>
          <w:rFonts w:ascii="Times New Roman" w:eastAsia="Times New Roman" w:hAnsi="Times New Roman"/>
          <w:sz w:val="24"/>
          <w:szCs w:val="24"/>
          <w:lang w:eastAsia="ru-RU"/>
        </w:rPr>
        <w:t xml:space="preserve"> целевых программ</w:t>
      </w:r>
      <w:r w:rsidR="00654E5D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831EB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9D5300" w:rsidRPr="00831EBF">
        <w:rPr>
          <w:rFonts w:ascii="Times New Roman" w:eastAsia="Times New Roman" w:hAnsi="Times New Roman"/>
          <w:sz w:val="24"/>
          <w:szCs w:val="24"/>
          <w:lang w:eastAsia="ru-RU"/>
        </w:rPr>
        <w:t>Осуществлялась</w:t>
      </w:r>
      <w:r w:rsidR="00656BF0" w:rsidRPr="00831EBF">
        <w:rPr>
          <w:rFonts w:ascii="Times New Roman" w:eastAsia="Times New Roman" w:hAnsi="Times New Roman"/>
          <w:sz w:val="24"/>
          <w:szCs w:val="24"/>
          <w:lang w:eastAsia="ru-RU"/>
        </w:rPr>
        <w:t xml:space="preserve"> реализация программ, принятых как 201</w:t>
      </w:r>
      <w:r w:rsidR="00654E5D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656BF0" w:rsidRPr="00831EBF">
        <w:rPr>
          <w:rFonts w:ascii="Times New Roman" w:eastAsia="Times New Roman" w:hAnsi="Times New Roman"/>
          <w:sz w:val="24"/>
          <w:szCs w:val="24"/>
          <w:lang w:eastAsia="ru-RU"/>
        </w:rPr>
        <w:t xml:space="preserve"> году, так и ранее утвержденных. Все программы принимались Постановлениями Администрации г. Переславля-Залесского.</w:t>
      </w:r>
    </w:p>
    <w:p w:rsidR="009D5300" w:rsidRPr="00831EBF" w:rsidRDefault="009D5300" w:rsidP="009D5300">
      <w:pPr>
        <w:spacing w:after="0" w:line="240" w:lineRule="auto"/>
        <w:ind w:right="60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31EBF">
        <w:rPr>
          <w:rFonts w:ascii="Times New Roman" w:eastAsia="Times New Roman" w:hAnsi="Times New Roman"/>
          <w:sz w:val="24"/>
          <w:szCs w:val="24"/>
          <w:lang w:eastAsia="ru-RU"/>
        </w:rPr>
        <w:t>В течение 201</w:t>
      </w:r>
      <w:r w:rsidR="00654E5D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Pr="00831EBF">
        <w:rPr>
          <w:rFonts w:ascii="Times New Roman" w:eastAsia="Times New Roman" w:hAnsi="Times New Roman"/>
          <w:sz w:val="24"/>
          <w:szCs w:val="24"/>
          <w:lang w:eastAsia="ru-RU"/>
        </w:rPr>
        <w:t xml:space="preserve"> года вносились изменения в городские целевые, долгосрочные и ведомственные программы. Основными причинами внесения изменений были:</w:t>
      </w:r>
    </w:p>
    <w:p w:rsidR="009D5300" w:rsidRPr="00831EBF" w:rsidRDefault="009D5300" w:rsidP="009D5300">
      <w:pPr>
        <w:spacing w:after="0" w:line="240" w:lineRule="auto"/>
        <w:ind w:right="60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31EBF">
        <w:rPr>
          <w:rFonts w:ascii="Times New Roman" w:eastAsia="Times New Roman" w:hAnsi="Times New Roman"/>
          <w:sz w:val="24"/>
          <w:szCs w:val="24"/>
          <w:lang w:eastAsia="ru-RU"/>
        </w:rPr>
        <w:t>- изменение объемов финансирования;</w:t>
      </w:r>
    </w:p>
    <w:p w:rsidR="009D5300" w:rsidRPr="00831EBF" w:rsidRDefault="009D5300" w:rsidP="009D5300">
      <w:pPr>
        <w:spacing w:after="0" w:line="240" w:lineRule="auto"/>
        <w:ind w:right="60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31EBF">
        <w:rPr>
          <w:rFonts w:ascii="Times New Roman" w:eastAsia="Times New Roman" w:hAnsi="Times New Roman"/>
          <w:sz w:val="24"/>
          <w:szCs w:val="24"/>
          <w:lang w:eastAsia="ru-RU"/>
        </w:rPr>
        <w:t>- корректировка мероприятий или механизма реализации программы;</w:t>
      </w:r>
    </w:p>
    <w:p w:rsidR="009D5300" w:rsidRPr="00831EBF" w:rsidRDefault="009D5300" w:rsidP="009D5300">
      <w:pPr>
        <w:spacing w:after="0" w:line="240" w:lineRule="auto"/>
        <w:ind w:left="900" w:right="600" w:hanging="19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31EBF">
        <w:rPr>
          <w:rFonts w:ascii="Times New Roman" w:eastAsia="Times New Roman" w:hAnsi="Times New Roman"/>
          <w:sz w:val="24"/>
          <w:szCs w:val="24"/>
          <w:lang w:eastAsia="ru-RU"/>
        </w:rPr>
        <w:t>- изменение требований к программам.</w:t>
      </w:r>
    </w:p>
    <w:p w:rsidR="009D5300" w:rsidRPr="00BD19AC" w:rsidRDefault="009D5300" w:rsidP="0005048F">
      <w:pPr>
        <w:spacing w:after="0" w:line="240" w:lineRule="auto"/>
        <w:ind w:right="600" w:firstLine="709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4C22CB" w:rsidRDefault="00CE0C16" w:rsidP="0004003D">
      <w:pPr>
        <w:jc w:val="center"/>
      </w:pPr>
      <w:r>
        <w:rPr>
          <w:noProof/>
          <w:lang w:eastAsia="ru-RU"/>
        </w:rPr>
        <w:drawing>
          <wp:inline distT="0" distB="0" distL="0" distR="0" wp14:anchorId="4F73FC5A" wp14:editId="6A0B579F">
            <wp:extent cx="5173980" cy="3432810"/>
            <wp:effectExtent l="0" t="0" r="7620" b="1524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inline>
        </w:drawing>
      </w:r>
    </w:p>
    <w:p w:rsidR="003D5217" w:rsidRDefault="00831EBF" w:rsidP="00E32D19">
      <w:pPr>
        <w:spacing w:after="0" w:line="240" w:lineRule="auto"/>
        <w:ind w:right="-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31EBF">
        <w:rPr>
          <w:rFonts w:ascii="Times New Roman" w:eastAsia="Times New Roman" w:hAnsi="Times New Roman"/>
          <w:sz w:val="24"/>
          <w:szCs w:val="24"/>
          <w:lang w:eastAsia="ru-RU"/>
        </w:rPr>
        <w:t xml:space="preserve">В течение года осуществлялась реализация </w:t>
      </w:r>
      <w:r w:rsidR="003D5217">
        <w:rPr>
          <w:rFonts w:ascii="Times New Roman" w:eastAsia="Times New Roman" w:hAnsi="Times New Roman"/>
          <w:sz w:val="24"/>
          <w:szCs w:val="24"/>
          <w:lang w:eastAsia="ru-RU"/>
        </w:rPr>
        <w:t>12 муниципальных</w:t>
      </w:r>
      <w:r w:rsidRPr="00831EBF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</w:t>
      </w:r>
      <w:r w:rsidR="003D5217">
        <w:rPr>
          <w:rFonts w:ascii="Times New Roman" w:eastAsia="Times New Roman" w:hAnsi="Times New Roman"/>
          <w:sz w:val="24"/>
          <w:szCs w:val="24"/>
          <w:lang w:eastAsia="ru-RU"/>
        </w:rPr>
        <w:t xml:space="preserve">: </w:t>
      </w:r>
    </w:p>
    <w:p w:rsidR="003D5217" w:rsidRDefault="003D5217" w:rsidP="00E32D19">
      <w:pPr>
        <w:spacing w:after="0" w:line="240" w:lineRule="auto"/>
        <w:ind w:right="-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в </w:t>
      </w:r>
      <w:r w:rsidR="00965691">
        <w:rPr>
          <w:rFonts w:ascii="Times New Roman" w:eastAsia="Times New Roman" w:hAnsi="Times New Roman"/>
          <w:sz w:val="24"/>
          <w:szCs w:val="24"/>
          <w:lang w:eastAsia="ru-RU"/>
        </w:rPr>
        <w:t>их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числе:</w:t>
      </w:r>
    </w:p>
    <w:p w:rsidR="003D5217" w:rsidRDefault="003D5217" w:rsidP="00E32D19">
      <w:pPr>
        <w:spacing w:after="0" w:line="240" w:lineRule="auto"/>
        <w:ind w:right="-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965691">
        <w:rPr>
          <w:rFonts w:ascii="Times New Roman" w:eastAsia="Times New Roman" w:hAnsi="Times New Roman"/>
          <w:sz w:val="24"/>
          <w:szCs w:val="24"/>
          <w:lang w:eastAsia="ru-RU"/>
        </w:rPr>
        <w:t>21 городская программа;</w:t>
      </w:r>
    </w:p>
    <w:p w:rsidR="00965691" w:rsidRDefault="00965691" w:rsidP="00E32D19">
      <w:pPr>
        <w:spacing w:after="0" w:line="240" w:lineRule="auto"/>
        <w:ind w:right="-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- 4 ведомственных программы;</w:t>
      </w:r>
    </w:p>
    <w:p w:rsidR="00965691" w:rsidRDefault="00965691" w:rsidP="00E32D19">
      <w:pPr>
        <w:spacing w:after="0" w:line="240" w:lineRule="auto"/>
        <w:ind w:right="-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- 2 городские адресные программы.</w:t>
      </w:r>
    </w:p>
    <w:p w:rsidR="00831EBF" w:rsidRDefault="00965691" w:rsidP="00E32D19">
      <w:pPr>
        <w:spacing w:after="0" w:line="240" w:lineRule="auto"/>
        <w:ind w:right="-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r w:rsidR="00831EBF" w:rsidRPr="00831EBF">
        <w:rPr>
          <w:rFonts w:ascii="Times New Roman" w:eastAsia="Times New Roman" w:hAnsi="Times New Roman"/>
          <w:sz w:val="24"/>
          <w:szCs w:val="24"/>
          <w:lang w:eastAsia="ru-RU"/>
        </w:rPr>
        <w:t>лановы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й</w:t>
      </w:r>
      <w:r w:rsidR="00831EBF" w:rsidRPr="00831EBF">
        <w:rPr>
          <w:rFonts w:ascii="Times New Roman" w:eastAsia="Times New Roman" w:hAnsi="Times New Roman"/>
          <w:sz w:val="24"/>
          <w:szCs w:val="24"/>
          <w:lang w:eastAsia="ru-RU"/>
        </w:rPr>
        <w:t xml:space="preserve"> объем финансирования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всех программ</w:t>
      </w:r>
      <w:r w:rsidR="00831EBF" w:rsidRPr="00831EBF">
        <w:rPr>
          <w:rFonts w:ascii="Times New Roman" w:eastAsia="Times New Roman" w:hAnsi="Times New Roman"/>
          <w:sz w:val="24"/>
          <w:szCs w:val="24"/>
          <w:lang w:eastAsia="ru-RU"/>
        </w:rPr>
        <w:t xml:space="preserve"> из городского бюджета </w:t>
      </w:r>
      <w:r w:rsidR="003055A4">
        <w:rPr>
          <w:rFonts w:ascii="Times New Roman" w:eastAsia="Times New Roman" w:hAnsi="Times New Roman"/>
          <w:sz w:val="24"/>
          <w:szCs w:val="24"/>
          <w:lang w:eastAsia="ru-RU"/>
        </w:rPr>
        <w:t>составил 1 417 548,7 тыс. рублей, фа</w:t>
      </w:r>
      <w:r w:rsidR="00831EBF" w:rsidRPr="00831EBF">
        <w:rPr>
          <w:rFonts w:ascii="Times New Roman" w:eastAsia="Times New Roman" w:hAnsi="Times New Roman"/>
          <w:sz w:val="24"/>
          <w:szCs w:val="24"/>
          <w:lang w:eastAsia="ru-RU"/>
        </w:rPr>
        <w:t>ктический объем финансирования</w:t>
      </w:r>
      <w:r w:rsidR="003055A4">
        <w:rPr>
          <w:rFonts w:ascii="Times New Roman" w:eastAsia="Times New Roman" w:hAnsi="Times New Roman"/>
          <w:sz w:val="24"/>
          <w:szCs w:val="24"/>
          <w:lang w:eastAsia="ru-RU"/>
        </w:rPr>
        <w:t xml:space="preserve"> – 1 350 919,2</w:t>
      </w:r>
      <w:r w:rsidR="001B4EC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831EBF" w:rsidRPr="00831EBF">
        <w:rPr>
          <w:rFonts w:ascii="Times New Roman" w:eastAsia="Times New Roman" w:hAnsi="Times New Roman"/>
          <w:sz w:val="24"/>
          <w:szCs w:val="24"/>
          <w:lang w:eastAsia="ru-RU"/>
        </w:rPr>
        <w:t xml:space="preserve">тыс. рублей или </w:t>
      </w:r>
      <w:r w:rsidR="003055A4">
        <w:rPr>
          <w:rFonts w:ascii="Times New Roman" w:eastAsia="Times New Roman" w:hAnsi="Times New Roman"/>
          <w:sz w:val="24"/>
          <w:szCs w:val="24"/>
          <w:lang w:eastAsia="ru-RU"/>
        </w:rPr>
        <w:t xml:space="preserve">95,3% от </w:t>
      </w:r>
      <w:r w:rsidR="00831EBF" w:rsidRPr="00831EBF">
        <w:rPr>
          <w:rFonts w:ascii="Times New Roman" w:eastAsia="Times New Roman" w:hAnsi="Times New Roman"/>
          <w:sz w:val="24"/>
          <w:szCs w:val="24"/>
          <w:lang w:eastAsia="ru-RU"/>
        </w:rPr>
        <w:t xml:space="preserve">плана. </w:t>
      </w:r>
      <w:r w:rsidR="00F22390">
        <w:rPr>
          <w:rFonts w:ascii="Times New Roman" w:eastAsia="Times New Roman" w:hAnsi="Times New Roman"/>
          <w:sz w:val="24"/>
          <w:szCs w:val="24"/>
          <w:lang w:eastAsia="ru-RU"/>
        </w:rPr>
        <w:t xml:space="preserve">Большую часть </w:t>
      </w:r>
      <w:r w:rsidR="00BA209F">
        <w:rPr>
          <w:rFonts w:ascii="Times New Roman" w:eastAsia="Times New Roman" w:hAnsi="Times New Roman"/>
          <w:sz w:val="24"/>
          <w:szCs w:val="24"/>
          <w:lang w:eastAsia="ru-RU"/>
        </w:rPr>
        <w:t>программных расходов городского бюджета (</w:t>
      </w:r>
      <w:r w:rsidR="0084206E">
        <w:rPr>
          <w:rFonts w:ascii="Times New Roman" w:eastAsia="Times New Roman" w:hAnsi="Times New Roman"/>
          <w:sz w:val="24"/>
          <w:szCs w:val="24"/>
          <w:lang w:eastAsia="ru-RU"/>
        </w:rPr>
        <w:t>42,2</w:t>
      </w:r>
      <w:r w:rsidR="00BA209F">
        <w:rPr>
          <w:rFonts w:ascii="Times New Roman" w:eastAsia="Times New Roman" w:hAnsi="Times New Roman"/>
          <w:sz w:val="24"/>
          <w:szCs w:val="24"/>
          <w:lang w:eastAsia="ru-RU"/>
        </w:rPr>
        <w:t xml:space="preserve">%) составила </w:t>
      </w:r>
      <w:r w:rsidR="0084206E">
        <w:rPr>
          <w:rFonts w:ascii="Times New Roman" w:eastAsia="Times New Roman" w:hAnsi="Times New Roman"/>
          <w:sz w:val="24"/>
          <w:szCs w:val="24"/>
          <w:lang w:eastAsia="ru-RU"/>
        </w:rPr>
        <w:t>муниципальная п</w:t>
      </w:r>
      <w:r w:rsidR="00831EBF" w:rsidRPr="00BA209F">
        <w:rPr>
          <w:rFonts w:ascii="Times New Roman" w:eastAsia="Times New Roman" w:hAnsi="Times New Roman"/>
          <w:sz w:val="24"/>
          <w:szCs w:val="24"/>
          <w:lang w:eastAsia="ru-RU"/>
        </w:rPr>
        <w:t>рограмм</w:t>
      </w:r>
      <w:r w:rsidR="00AE211F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="00831EBF" w:rsidRPr="00BA209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84206E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84206E" w:rsidRPr="0084206E">
        <w:rPr>
          <w:rFonts w:ascii="Times New Roman" w:eastAsia="Times New Roman" w:hAnsi="Times New Roman"/>
          <w:sz w:val="24"/>
          <w:szCs w:val="24"/>
          <w:lang w:eastAsia="ru-RU"/>
        </w:rPr>
        <w:t>Развитие образования и молодежная политика г. Переславля-Залесского</w:t>
      </w:r>
      <w:r w:rsidR="0084206E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AE211F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BA209F" w:rsidRPr="00BA209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831EBF" w:rsidRPr="00831EBF">
        <w:rPr>
          <w:rFonts w:ascii="Times New Roman" w:eastAsia="Times New Roman" w:hAnsi="Times New Roman"/>
          <w:sz w:val="24"/>
          <w:szCs w:val="24"/>
          <w:lang w:eastAsia="ru-RU"/>
        </w:rPr>
        <w:t xml:space="preserve">В истекшем году доля бюджетных расходов предусмотренных на реализацию целевых программ составила </w:t>
      </w:r>
      <w:r w:rsidR="005E724A">
        <w:rPr>
          <w:rFonts w:ascii="Times New Roman" w:eastAsia="Times New Roman" w:hAnsi="Times New Roman"/>
          <w:sz w:val="24"/>
          <w:szCs w:val="24"/>
          <w:lang w:eastAsia="ru-RU"/>
        </w:rPr>
        <w:t>95,5</w:t>
      </w:r>
      <w:r w:rsidR="00831EBF" w:rsidRPr="00831EBF">
        <w:rPr>
          <w:rFonts w:ascii="Times New Roman" w:eastAsia="Times New Roman" w:hAnsi="Times New Roman"/>
          <w:sz w:val="24"/>
          <w:szCs w:val="24"/>
          <w:lang w:eastAsia="ru-RU"/>
        </w:rPr>
        <w:t xml:space="preserve">%. Увеличение в сравнении с прошлым годом на </w:t>
      </w:r>
      <w:r w:rsidR="005E724A">
        <w:rPr>
          <w:rFonts w:ascii="Times New Roman" w:eastAsia="Times New Roman" w:hAnsi="Times New Roman"/>
          <w:sz w:val="24"/>
          <w:szCs w:val="24"/>
          <w:lang w:eastAsia="ru-RU"/>
        </w:rPr>
        <w:t>14,2</w:t>
      </w:r>
      <w:r w:rsidR="00C07941">
        <w:rPr>
          <w:rFonts w:ascii="Times New Roman" w:eastAsia="Times New Roman" w:hAnsi="Times New Roman"/>
          <w:sz w:val="24"/>
          <w:szCs w:val="24"/>
          <w:lang w:eastAsia="ru-RU"/>
        </w:rPr>
        <w:t xml:space="preserve"> процентных пункта.</w:t>
      </w:r>
    </w:p>
    <w:p w:rsidR="00F92850" w:rsidRDefault="00F92850" w:rsidP="00831EBF">
      <w:pPr>
        <w:spacing w:after="0" w:line="240" w:lineRule="auto"/>
        <w:ind w:right="60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07941" w:rsidRPr="00C07941" w:rsidRDefault="00CE0C16" w:rsidP="00CE0C16">
      <w:pPr>
        <w:spacing w:after="0" w:line="240" w:lineRule="auto"/>
        <w:ind w:right="600" w:firstLine="709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noProof/>
          <w:lang w:eastAsia="ru-RU"/>
        </w:rPr>
        <w:lastRenderedPageBreak/>
        <w:drawing>
          <wp:inline distT="0" distB="0" distL="0" distR="0" wp14:anchorId="3BAAFD42" wp14:editId="57A8CF4A">
            <wp:extent cx="5219700" cy="3459480"/>
            <wp:effectExtent l="0" t="0" r="0" b="762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:rsidR="00C07941" w:rsidRPr="00C07941" w:rsidRDefault="00C07941" w:rsidP="00C0794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07941">
        <w:rPr>
          <w:rFonts w:ascii="Times New Roman" w:hAnsi="Times New Roman"/>
          <w:sz w:val="24"/>
          <w:szCs w:val="24"/>
        </w:rPr>
        <w:t xml:space="preserve">В разрезе уровней бюджета программные мероприятия выглядят следующим образом: </w:t>
      </w:r>
    </w:p>
    <w:p w:rsidR="00C07941" w:rsidRPr="00C07941" w:rsidRDefault="00C07941" w:rsidP="00C07941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C07941">
        <w:rPr>
          <w:rFonts w:ascii="Times New Roman" w:hAnsi="Times New Roman"/>
          <w:b/>
          <w:i/>
          <w:sz w:val="24"/>
          <w:szCs w:val="24"/>
        </w:rPr>
        <w:t xml:space="preserve">- Федеральный бюджет – </w:t>
      </w:r>
      <w:r w:rsidR="00E54A89">
        <w:rPr>
          <w:rFonts w:ascii="Times New Roman" w:hAnsi="Times New Roman"/>
          <w:b/>
          <w:i/>
          <w:sz w:val="24"/>
          <w:szCs w:val="24"/>
        </w:rPr>
        <w:t>48,8</w:t>
      </w:r>
      <w:r w:rsidRPr="00C07941">
        <w:rPr>
          <w:rFonts w:ascii="Times New Roman" w:hAnsi="Times New Roman"/>
          <w:b/>
          <w:i/>
          <w:sz w:val="24"/>
          <w:szCs w:val="24"/>
        </w:rPr>
        <w:t xml:space="preserve"> млн. руб. или </w:t>
      </w:r>
      <w:r w:rsidR="00AC4290">
        <w:rPr>
          <w:rFonts w:ascii="Times New Roman" w:hAnsi="Times New Roman"/>
          <w:b/>
          <w:i/>
          <w:sz w:val="24"/>
          <w:szCs w:val="24"/>
        </w:rPr>
        <w:t>3</w:t>
      </w:r>
      <w:r w:rsidRPr="00C07941">
        <w:rPr>
          <w:rFonts w:ascii="Times New Roman" w:hAnsi="Times New Roman"/>
          <w:b/>
          <w:i/>
          <w:sz w:val="24"/>
          <w:szCs w:val="24"/>
        </w:rPr>
        <w:t>%;</w:t>
      </w:r>
    </w:p>
    <w:p w:rsidR="00C07941" w:rsidRPr="00C07941" w:rsidRDefault="00C07941" w:rsidP="00C07941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C07941">
        <w:rPr>
          <w:rFonts w:ascii="Times New Roman" w:hAnsi="Times New Roman"/>
          <w:b/>
          <w:i/>
          <w:sz w:val="24"/>
          <w:szCs w:val="24"/>
        </w:rPr>
        <w:t xml:space="preserve">- Областной бюджет – </w:t>
      </w:r>
      <w:r w:rsidR="00E54A89">
        <w:rPr>
          <w:rFonts w:ascii="Times New Roman" w:hAnsi="Times New Roman"/>
          <w:b/>
          <w:i/>
          <w:sz w:val="24"/>
          <w:szCs w:val="24"/>
        </w:rPr>
        <w:t>741,5</w:t>
      </w:r>
      <w:r w:rsidRPr="00C07941">
        <w:rPr>
          <w:rFonts w:ascii="Times New Roman" w:hAnsi="Times New Roman"/>
          <w:b/>
          <w:i/>
          <w:sz w:val="24"/>
          <w:szCs w:val="24"/>
        </w:rPr>
        <w:t xml:space="preserve"> млн. руб. или </w:t>
      </w:r>
      <w:r w:rsidR="00AC4290">
        <w:rPr>
          <w:rFonts w:ascii="Times New Roman" w:hAnsi="Times New Roman"/>
          <w:b/>
          <w:i/>
          <w:sz w:val="24"/>
          <w:szCs w:val="24"/>
        </w:rPr>
        <w:t>55</w:t>
      </w:r>
      <w:r w:rsidRPr="00C07941">
        <w:rPr>
          <w:rFonts w:ascii="Times New Roman" w:hAnsi="Times New Roman"/>
          <w:b/>
          <w:i/>
          <w:sz w:val="24"/>
          <w:szCs w:val="24"/>
        </w:rPr>
        <w:t>%;</w:t>
      </w:r>
    </w:p>
    <w:p w:rsidR="00C07941" w:rsidRPr="00C07941" w:rsidRDefault="00C07941" w:rsidP="00C07941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C07941">
        <w:rPr>
          <w:rFonts w:ascii="Times New Roman" w:hAnsi="Times New Roman"/>
          <w:b/>
          <w:i/>
          <w:sz w:val="24"/>
          <w:szCs w:val="24"/>
        </w:rPr>
        <w:t xml:space="preserve">- Городской бюджет – </w:t>
      </w:r>
      <w:r w:rsidR="00AC4290">
        <w:rPr>
          <w:rFonts w:ascii="Times New Roman" w:hAnsi="Times New Roman"/>
          <w:b/>
          <w:i/>
          <w:sz w:val="24"/>
          <w:szCs w:val="24"/>
        </w:rPr>
        <w:t>494,6</w:t>
      </w:r>
      <w:r w:rsidRPr="00C07941">
        <w:rPr>
          <w:rFonts w:ascii="Times New Roman" w:hAnsi="Times New Roman"/>
          <w:b/>
          <w:i/>
          <w:sz w:val="24"/>
          <w:szCs w:val="24"/>
        </w:rPr>
        <w:t xml:space="preserve"> млн. руб. или </w:t>
      </w:r>
      <w:r w:rsidR="00AC4290">
        <w:rPr>
          <w:rFonts w:ascii="Times New Roman" w:hAnsi="Times New Roman"/>
          <w:b/>
          <w:i/>
          <w:sz w:val="24"/>
          <w:szCs w:val="24"/>
        </w:rPr>
        <w:t>37</w:t>
      </w:r>
      <w:r w:rsidRPr="00C07941">
        <w:rPr>
          <w:rFonts w:ascii="Times New Roman" w:hAnsi="Times New Roman"/>
          <w:b/>
          <w:i/>
          <w:sz w:val="24"/>
          <w:szCs w:val="24"/>
        </w:rPr>
        <w:t>%;</w:t>
      </w:r>
    </w:p>
    <w:p w:rsidR="00C07941" w:rsidRDefault="00C07941" w:rsidP="00C07941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C07941">
        <w:rPr>
          <w:rFonts w:ascii="Times New Roman" w:hAnsi="Times New Roman"/>
          <w:b/>
          <w:i/>
          <w:sz w:val="24"/>
          <w:szCs w:val="24"/>
        </w:rPr>
        <w:t xml:space="preserve">- Средства Фонда содействия реформирования ЖКХ – </w:t>
      </w:r>
      <w:r w:rsidR="00AC4290">
        <w:rPr>
          <w:rFonts w:ascii="Times New Roman" w:hAnsi="Times New Roman"/>
          <w:b/>
          <w:i/>
          <w:sz w:val="24"/>
          <w:szCs w:val="24"/>
        </w:rPr>
        <w:t>65,5</w:t>
      </w:r>
      <w:r w:rsidRPr="00C07941">
        <w:rPr>
          <w:rFonts w:ascii="Times New Roman" w:hAnsi="Times New Roman"/>
          <w:b/>
          <w:i/>
          <w:sz w:val="24"/>
          <w:szCs w:val="24"/>
        </w:rPr>
        <w:t xml:space="preserve"> млн. руб. или </w:t>
      </w:r>
      <w:r w:rsidR="00AC4290">
        <w:rPr>
          <w:rFonts w:ascii="Times New Roman" w:hAnsi="Times New Roman"/>
          <w:b/>
          <w:i/>
          <w:sz w:val="24"/>
          <w:szCs w:val="24"/>
        </w:rPr>
        <w:t>5</w:t>
      </w:r>
      <w:r w:rsidR="00060340">
        <w:rPr>
          <w:rFonts w:ascii="Times New Roman" w:hAnsi="Times New Roman"/>
          <w:b/>
          <w:i/>
          <w:sz w:val="24"/>
          <w:szCs w:val="24"/>
        </w:rPr>
        <w:t>%.</w:t>
      </w:r>
    </w:p>
    <w:p w:rsidR="00060340" w:rsidRPr="00C07941" w:rsidRDefault="00060340" w:rsidP="00C07941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060340" w:rsidRPr="00060340" w:rsidRDefault="00C07941" w:rsidP="0006034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7941">
        <w:rPr>
          <w:rFonts w:ascii="Times New Roman" w:hAnsi="Times New Roman"/>
          <w:sz w:val="24"/>
          <w:szCs w:val="24"/>
        </w:rPr>
        <w:tab/>
      </w:r>
      <w:r w:rsidR="00060340" w:rsidRPr="00060340">
        <w:rPr>
          <w:rFonts w:ascii="Times New Roman" w:hAnsi="Times New Roman"/>
          <w:sz w:val="24"/>
          <w:szCs w:val="24"/>
        </w:rPr>
        <w:t>В рамках программ на инвестиции было израсходовано 287 803,8 тыс. руб., в том числе:</w:t>
      </w:r>
    </w:p>
    <w:p w:rsidR="00060340" w:rsidRPr="00060340" w:rsidRDefault="00060340" w:rsidP="0006034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60340">
        <w:rPr>
          <w:rFonts w:ascii="Times New Roman" w:hAnsi="Times New Roman"/>
          <w:sz w:val="24"/>
          <w:szCs w:val="24"/>
        </w:rPr>
        <w:t>1)</w:t>
      </w:r>
      <w:r w:rsidRPr="00060340">
        <w:rPr>
          <w:rFonts w:ascii="Times New Roman" w:hAnsi="Times New Roman"/>
          <w:sz w:val="24"/>
          <w:szCs w:val="24"/>
        </w:rPr>
        <w:tab/>
        <w:t>На ГАП "Переселение граждан из аварийного жилищного фонда города Переславля-Залесского с учетом необходимости развития малоэтажного жилищного строительства на 2013-2015 год" – 186 477,6 тыс. руб. (средства ФСР ЖКХ – 65 505,4 тыс. руб., средства областного бюджета - 93 824,7 тыс. руб., средства городского бюджета – 27 147,5 тыс. руб.);</w:t>
      </w:r>
    </w:p>
    <w:p w:rsidR="00060340" w:rsidRPr="00060340" w:rsidRDefault="00060340" w:rsidP="0006034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60340">
        <w:rPr>
          <w:rFonts w:ascii="Times New Roman" w:hAnsi="Times New Roman"/>
          <w:sz w:val="24"/>
          <w:szCs w:val="24"/>
        </w:rPr>
        <w:t>2)</w:t>
      </w:r>
      <w:r w:rsidRPr="00060340">
        <w:rPr>
          <w:rFonts w:ascii="Times New Roman" w:hAnsi="Times New Roman"/>
          <w:sz w:val="24"/>
          <w:szCs w:val="24"/>
        </w:rPr>
        <w:tab/>
        <w:t>На реконструкцию автомобильных дорог – 67 994,9 тыс. руб. (областные средства – 51 184,3 тыс. руб., городские средства – 16 810,6 тыс. руб.);</w:t>
      </w:r>
    </w:p>
    <w:p w:rsidR="00060340" w:rsidRPr="00060340" w:rsidRDefault="00060340" w:rsidP="0006034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60340">
        <w:rPr>
          <w:rFonts w:ascii="Times New Roman" w:hAnsi="Times New Roman"/>
          <w:sz w:val="24"/>
          <w:szCs w:val="24"/>
        </w:rPr>
        <w:t>3)</w:t>
      </w:r>
      <w:r w:rsidRPr="00060340">
        <w:rPr>
          <w:rFonts w:ascii="Times New Roman" w:hAnsi="Times New Roman"/>
          <w:sz w:val="24"/>
          <w:szCs w:val="24"/>
        </w:rPr>
        <w:tab/>
        <w:t>На приобретение в муниципальную собственность объектов физической культуры и спорта – 12 000 тыс. руб. (за счет областных средств – 9 600 тыс. руб., за счет городского бюджета – 2 400 тыс. руб.);</w:t>
      </w:r>
    </w:p>
    <w:p w:rsidR="00060340" w:rsidRPr="00060340" w:rsidRDefault="00060340" w:rsidP="0006034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60340">
        <w:rPr>
          <w:rFonts w:ascii="Times New Roman" w:hAnsi="Times New Roman"/>
          <w:sz w:val="24"/>
          <w:szCs w:val="24"/>
        </w:rPr>
        <w:t>4)</w:t>
      </w:r>
      <w:r w:rsidRPr="00060340">
        <w:rPr>
          <w:rFonts w:ascii="Times New Roman" w:hAnsi="Times New Roman"/>
          <w:sz w:val="24"/>
          <w:szCs w:val="24"/>
        </w:rPr>
        <w:tab/>
        <w:t>Кредиторская задолженность по ПСД стадиона «Юность» - 2 253,5 тыс. руб.</w:t>
      </w:r>
    </w:p>
    <w:p w:rsidR="00060340" w:rsidRPr="00060340" w:rsidRDefault="00060340" w:rsidP="0006034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60340">
        <w:rPr>
          <w:rFonts w:ascii="Times New Roman" w:hAnsi="Times New Roman"/>
          <w:sz w:val="24"/>
          <w:szCs w:val="24"/>
        </w:rPr>
        <w:t>5)</w:t>
      </w:r>
      <w:r w:rsidRPr="00060340">
        <w:rPr>
          <w:rFonts w:ascii="Times New Roman" w:hAnsi="Times New Roman"/>
          <w:sz w:val="24"/>
          <w:szCs w:val="24"/>
        </w:rPr>
        <w:tab/>
        <w:t>Кредиторская задолженность по строительству межшкольного стадиона – 4 117,2 тыс. руб.</w:t>
      </w:r>
    </w:p>
    <w:p w:rsidR="00060340" w:rsidRPr="00060340" w:rsidRDefault="00060340" w:rsidP="0006034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60340">
        <w:rPr>
          <w:rFonts w:ascii="Times New Roman" w:hAnsi="Times New Roman"/>
          <w:sz w:val="24"/>
          <w:szCs w:val="24"/>
        </w:rPr>
        <w:t>6)</w:t>
      </w:r>
      <w:r w:rsidRPr="00060340">
        <w:rPr>
          <w:rFonts w:ascii="Times New Roman" w:hAnsi="Times New Roman"/>
          <w:sz w:val="24"/>
          <w:szCs w:val="24"/>
        </w:rPr>
        <w:tab/>
        <w:t>Переселение граждан из жилищного фонда, признанного непригодным для проживания (долевое строительство) – 7 106 ,3 тыс. руб.</w:t>
      </w:r>
    </w:p>
    <w:p w:rsidR="00060340" w:rsidRPr="00060340" w:rsidRDefault="00060340" w:rsidP="0006034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60340">
        <w:rPr>
          <w:rFonts w:ascii="Times New Roman" w:hAnsi="Times New Roman"/>
          <w:sz w:val="24"/>
          <w:szCs w:val="24"/>
        </w:rPr>
        <w:t>7)</w:t>
      </w:r>
      <w:r w:rsidRPr="00060340">
        <w:rPr>
          <w:rFonts w:ascii="Times New Roman" w:hAnsi="Times New Roman"/>
          <w:sz w:val="24"/>
          <w:szCs w:val="24"/>
        </w:rPr>
        <w:tab/>
        <w:t>На программу модернизации коммунального хозяйства – 7 103,6 тыс. руб.</w:t>
      </w:r>
    </w:p>
    <w:p w:rsidR="00060340" w:rsidRPr="00060340" w:rsidRDefault="00060340" w:rsidP="0006034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60340">
        <w:rPr>
          <w:rFonts w:ascii="Times New Roman" w:hAnsi="Times New Roman"/>
          <w:sz w:val="24"/>
          <w:szCs w:val="24"/>
        </w:rPr>
        <w:t>8)</w:t>
      </w:r>
      <w:r w:rsidRPr="00060340">
        <w:rPr>
          <w:rFonts w:ascii="Times New Roman" w:hAnsi="Times New Roman"/>
          <w:sz w:val="24"/>
          <w:szCs w:val="24"/>
        </w:rPr>
        <w:tab/>
        <w:t>Расходы по ТИЦ (прокладка наружных сетей водоснабжения и водоотведения, капремонт помещения) – 388,8 тыс. руб.</w:t>
      </w:r>
    </w:p>
    <w:p w:rsidR="00E32D19" w:rsidRPr="00E32D19" w:rsidRDefault="00060340" w:rsidP="0006034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60340">
        <w:rPr>
          <w:rFonts w:ascii="Times New Roman" w:hAnsi="Times New Roman"/>
          <w:sz w:val="24"/>
          <w:szCs w:val="24"/>
        </w:rPr>
        <w:t>9)</w:t>
      </w:r>
      <w:r w:rsidRPr="00060340">
        <w:rPr>
          <w:rFonts w:ascii="Times New Roman" w:hAnsi="Times New Roman"/>
          <w:sz w:val="24"/>
          <w:szCs w:val="24"/>
        </w:rPr>
        <w:tab/>
        <w:t xml:space="preserve">Расходы </w:t>
      </w:r>
      <w:proofErr w:type="spellStart"/>
      <w:r w:rsidRPr="00060340">
        <w:rPr>
          <w:rFonts w:ascii="Times New Roman" w:hAnsi="Times New Roman"/>
          <w:sz w:val="24"/>
          <w:szCs w:val="24"/>
        </w:rPr>
        <w:t>Плещей</w:t>
      </w:r>
      <w:proofErr w:type="spellEnd"/>
      <w:r w:rsidRPr="00060340">
        <w:rPr>
          <w:rFonts w:ascii="Times New Roman" w:hAnsi="Times New Roman"/>
          <w:sz w:val="24"/>
          <w:szCs w:val="24"/>
        </w:rPr>
        <w:t xml:space="preserve"> (проведение инженерных обследований, экспертизы ПСД здания) – 361,9 тыс. руб.</w:t>
      </w:r>
    </w:p>
    <w:p w:rsidR="0004003D" w:rsidRDefault="00CE0C16" w:rsidP="00CE0C16">
      <w:pPr>
        <w:jc w:val="center"/>
      </w:pPr>
      <w:r>
        <w:rPr>
          <w:noProof/>
          <w:lang w:eastAsia="ru-RU"/>
        </w:rPr>
        <w:lastRenderedPageBreak/>
        <w:drawing>
          <wp:inline distT="0" distB="0" distL="0" distR="0" wp14:anchorId="05FDD8FE" wp14:editId="409904A0">
            <wp:extent cx="5257800" cy="3691890"/>
            <wp:effectExtent l="0" t="0" r="0" b="381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8440F7" w:rsidRDefault="00E32D19" w:rsidP="00411BE5">
      <w:pPr>
        <w:spacing w:after="0" w:line="240" w:lineRule="auto"/>
        <w:ind w:right="-1" w:firstLine="99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17AB0">
        <w:rPr>
          <w:rFonts w:ascii="Times New Roman" w:eastAsia="Times New Roman" w:hAnsi="Times New Roman"/>
          <w:sz w:val="24"/>
          <w:szCs w:val="24"/>
          <w:lang w:eastAsia="ru-RU"/>
        </w:rPr>
        <w:t xml:space="preserve">Наибольший удельный вес в расходах городского бюджета на финансирование программ приходится на сферы:  </w:t>
      </w:r>
    </w:p>
    <w:p w:rsidR="00E32D19" w:rsidRDefault="00E32D19" w:rsidP="008440F7">
      <w:pPr>
        <w:spacing w:after="0" w:line="240" w:lineRule="auto"/>
        <w:ind w:right="-1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17AB0">
        <w:rPr>
          <w:rFonts w:ascii="Times New Roman" w:eastAsia="Times New Roman" w:hAnsi="Times New Roman"/>
          <w:sz w:val="24"/>
          <w:szCs w:val="24"/>
          <w:lang w:eastAsia="ru-RU"/>
        </w:rPr>
        <w:t>образование и молодежная политика</w:t>
      </w:r>
      <w:r w:rsidR="008440F7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="005311B7">
        <w:rPr>
          <w:rFonts w:ascii="Times New Roman" w:eastAsia="Times New Roman" w:hAnsi="Times New Roman"/>
          <w:sz w:val="24"/>
          <w:szCs w:val="24"/>
          <w:lang w:eastAsia="ru-RU"/>
        </w:rPr>
        <w:t>46</w:t>
      </w:r>
      <w:r w:rsidR="008440F7">
        <w:rPr>
          <w:rFonts w:ascii="Times New Roman" w:eastAsia="Times New Roman" w:hAnsi="Times New Roman"/>
          <w:sz w:val="24"/>
          <w:szCs w:val="24"/>
          <w:lang w:eastAsia="ru-RU"/>
        </w:rPr>
        <w:t>%</w:t>
      </w:r>
      <w:r w:rsidRPr="00D17AB0">
        <w:rPr>
          <w:rFonts w:ascii="Times New Roman" w:eastAsia="Times New Roman" w:hAnsi="Times New Roman"/>
          <w:sz w:val="24"/>
          <w:szCs w:val="24"/>
          <w:lang w:eastAsia="ru-RU"/>
        </w:rPr>
        <w:t xml:space="preserve">; </w:t>
      </w:r>
    </w:p>
    <w:p w:rsidR="007E1FB7" w:rsidRPr="00D17AB0" w:rsidRDefault="005311B7" w:rsidP="007E1FB7">
      <w:pPr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</w:t>
      </w:r>
      <w:r w:rsidR="007E1FB7">
        <w:rPr>
          <w:rFonts w:ascii="Times New Roman" w:eastAsia="Times New Roman" w:hAnsi="Times New Roman"/>
          <w:sz w:val="24"/>
          <w:szCs w:val="24"/>
          <w:lang w:eastAsia="ru-RU"/>
        </w:rPr>
        <w:t>социальн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ая</w:t>
      </w:r>
      <w:r w:rsidR="007E1FB7">
        <w:rPr>
          <w:rFonts w:ascii="Times New Roman" w:eastAsia="Times New Roman" w:hAnsi="Times New Roman"/>
          <w:sz w:val="24"/>
          <w:szCs w:val="24"/>
          <w:lang w:eastAsia="ru-RU"/>
        </w:rPr>
        <w:t xml:space="preserve"> политик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="007E1FB7">
        <w:rPr>
          <w:rFonts w:ascii="Times New Roman" w:eastAsia="Times New Roman" w:hAnsi="Times New Roman"/>
          <w:sz w:val="24"/>
          <w:szCs w:val="24"/>
          <w:lang w:eastAsia="ru-RU"/>
        </w:rPr>
        <w:t xml:space="preserve"> – 1</w:t>
      </w:r>
      <w:r w:rsidR="004B260C"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="007E1FB7">
        <w:rPr>
          <w:rFonts w:ascii="Times New Roman" w:eastAsia="Times New Roman" w:hAnsi="Times New Roman"/>
          <w:sz w:val="24"/>
          <w:szCs w:val="24"/>
          <w:lang w:eastAsia="ru-RU"/>
        </w:rPr>
        <w:t>%;</w:t>
      </w:r>
    </w:p>
    <w:p w:rsidR="00E32D19" w:rsidRDefault="005311B7" w:rsidP="00411BE5">
      <w:pPr>
        <w:spacing w:after="0" w:line="240" w:lineRule="auto"/>
        <w:ind w:right="-1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жилищно-коммунальное хозяйство </w:t>
      </w:r>
      <w:r w:rsidR="00E32D19" w:rsidRPr="00D17AB0">
        <w:rPr>
          <w:rFonts w:ascii="Times New Roman" w:eastAsia="Times New Roman" w:hAnsi="Times New Roman"/>
          <w:sz w:val="24"/>
          <w:szCs w:val="24"/>
          <w:lang w:eastAsia="ru-RU"/>
        </w:rPr>
        <w:t>–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15</w:t>
      </w:r>
      <w:r w:rsidR="00E32D19" w:rsidRPr="00D17AB0">
        <w:rPr>
          <w:rFonts w:ascii="Times New Roman" w:eastAsia="Times New Roman" w:hAnsi="Times New Roman"/>
          <w:sz w:val="24"/>
          <w:szCs w:val="24"/>
          <w:lang w:eastAsia="ru-RU"/>
        </w:rPr>
        <w:t>%</w:t>
      </w:r>
    </w:p>
    <w:p w:rsidR="005311B7" w:rsidRDefault="005311B7" w:rsidP="00411BE5">
      <w:pPr>
        <w:spacing w:after="0" w:line="240" w:lineRule="auto"/>
        <w:ind w:right="-1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национальная экономика – 9%;</w:t>
      </w:r>
    </w:p>
    <w:p w:rsidR="005311B7" w:rsidRDefault="005311B7" w:rsidP="00411BE5">
      <w:pPr>
        <w:spacing w:after="0" w:line="240" w:lineRule="auto"/>
        <w:ind w:right="-1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общегосударственные вопросы – 6 %;</w:t>
      </w:r>
    </w:p>
    <w:p w:rsidR="005311B7" w:rsidRPr="00D17AB0" w:rsidRDefault="005311B7" w:rsidP="005311B7">
      <w:pPr>
        <w:spacing w:after="0" w:line="240" w:lineRule="auto"/>
        <w:ind w:right="-1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17AB0">
        <w:rPr>
          <w:rFonts w:ascii="Times New Roman" w:eastAsia="Times New Roman" w:hAnsi="Times New Roman"/>
          <w:sz w:val="24"/>
          <w:szCs w:val="24"/>
          <w:lang w:eastAsia="ru-RU"/>
        </w:rPr>
        <w:t>физическ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ая</w:t>
      </w:r>
      <w:r w:rsidRPr="00D17AB0">
        <w:rPr>
          <w:rFonts w:ascii="Times New Roman" w:eastAsia="Times New Roman" w:hAnsi="Times New Roman"/>
          <w:sz w:val="24"/>
          <w:szCs w:val="24"/>
          <w:lang w:eastAsia="ru-RU"/>
        </w:rPr>
        <w:t xml:space="preserve"> культур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D17AB0">
        <w:rPr>
          <w:rFonts w:ascii="Times New Roman" w:eastAsia="Times New Roman" w:hAnsi="Times New Roman"/>
          <w:sz w:val="24"/>
          <w:szCs w:val="24"/>
          <w:lang w:eastAsia="ru-RU"/>
        </w:rPr>
        <w:t xml:space="preserve"> и спорт приходится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4% </w:t>
      </w:r>
      <w:r w:rsidRPr="00D17AB0">
        <w:rPr>
          <w:rFonts w:ascii="Times New Roman" w:eastAsia="Times New Roman" w:hAnsi="Times New Roman"/>
          <w:sz w:val="24"/>
          <w:szCs w:val="24"/>
          <w:lang w:eastAsia="ru-RU"/>
        </w:rPr>
        <w:t>программных расходов;</w:t>
      </w:r>
    </w:p>
    <w:p w:rsidR="005311B7" w:rsidRPr="00D17AB0" w:rsidRDefault="005311B7" w:rsidP="00411BE5">
      <w:pPr>
        <w:spacing w:after="0" w:line="240" w:lineRule="auto"/>
        <w:ind w:right="-1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культура и кинематография – 2%.</w:t>
      </w:r>
    </w:p>
    <w:p w:rsidR="00E32D19" w:rsidRPr="00D17AB0" w:rsidRDefault="00E32D19" w:rsidP="00411BE5">
      <w:pPr>
        <w:spacing w:after="0" w:line="240" w:lineRule="auto"/>
        <w:ind w:right="-1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17AB0">
        <w:rPr>
          <w:rFonts w:ascii="Times New Roman" w:eastAsia="Times New Roman" w:hAnsi="Times New Roman"/>
          <w:sz w:val="24"/>
          <w:szCs w:val="24"/>
          <w:lang w:eastAsia="ru-RU"/>
        </w:rPr>
        <w:t xml:space="preserve">Подробная информация о выполнении программ по основным блокам приведена в таблице в виде приложения 1 </w:t>
      </w:r>
      <w:r w:rsidRPr="00D17AB0">
        <w:rPr>
          <w:rFonts w:ascii="Times New Roman" w:eastAsia="Times New Roman" w:hAnsi="Times New Roman"/>
          <w:sz w:val="24"/>
          <w:szCs w:val="24"/>
          <w:lang w:val="en-US" w:eastAsia="ru-RU"/>
        </w:rPr>
        <w:t>Excel</w:t>
      </w:r>
      <w:r w:rsidRPr="00D17AB0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E32D19" w:rsidRPr="00D17AB0" w:rsidRDefault="00E32D19" w:rsidP="00411BE5">
      <w:pPr>
        <w:spacing w:after="0" w:line="240" w:lineRule="auto"/>
        <w:ind w:left="900" w:right="600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17AB0"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E32D19" w:rsidRPr="00586FD6" w:rsidRDefault="00E32D19" w:rsidP="00411BE5">
      <w:pPr>
        <w:spacing w:after="0" w:line="240" w:lineRule="auto"/>
        <w:ind w:right="600" w:firstLine="426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6FD6">
        <w:rPr>
          <w:rFonts w:ascii="Times New Roman" w:eastAsia="Times New Roman" w:hAnsi="Times New Roman"/>
          <w:b/>
          <w:bCs/>
          <w:sz w:val="24"/>
          <w:szCs w:val="24"/>
          <w:lang w:val="en-US" w:eastAsia="ru-RU"/>
        </w:rPr>
        <w:t>III</w:t>
      </w:r>
      <w:r w:rsidRPr="00586FD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 Общая оценка результативности и эффективности программ</w:t>
      </w:r>
    </w:p>
    <w:p w:rsidR="00E32D19" w:rsidRPr="00586FD6" w:rsidRDefault="00E32D19" w:rsidP="00411BE5">
      <w:pPr>
        <w:spacing w:after="0" w:line="240" w:lineRule="auto"/>
        <w:ind w:left="900" w:right="600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32D19" w:rsidRPr="00586FD6" w:rsidRDefault="00E32D19" w:rsidP="00411BE5">
      <w:pPr>
        <w:spacing w:after="0" w:line="240" w:lineRule="auto"/>
        <w:ind w:right="-1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6FD6">
        <w:rPr>
          <w:rFonts w:ascii="Times New Roman" w:eastAsia="Times New Roman" w:hAnsi="Times New Roman"/>
          <w:sz w:val="24"/>
          <w:szCs w:val="24"/>
          <w:lang w:eastAsia="ru-RU"/>
        </w:rPr>
        <w:t>Уровень выполнения плановых значений целевых индикаторов и показателей результативности городских целевых программ в 201</w:t>
      </w:r>
      <w:r w:rsidR="00392E4A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Pr="00586FD6">
        <w:rPr>
          <w:rFonts w:ascii="Times New Roman" w:eastAsia="Times New Roman" w:hAnsi="Times New Roman"/>
          <w:sz w:val="24"/>
          <w:szCs w:val="24"/>
          <w:lang w:eastAsia="ru-RU"/>
        </w:rPr>
        <w:t xml:space="preserve"> году составил 9</w:t>
      </w:r>
      <w:r w:rsidR="00392E4A"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Pr="00586FD6">
        <w:rPr>
          <w:rFonts w:ascii="Times New Roman" w:eastAsia="Times New Roman" w:hAnsi="Times New Roman"/>
          <w:sz w:val="24"/>
          <w:szCs w:val="24"/>
          <w:lang w:eastAsia="ru-RU"/>
        </w:rPr>
        <w:t>%</w:t>
      </w:r>
      <w:r w:rsidR="00586FD6">
        <w:rPr>
          <w:rFonts w:ascii="Times New Roman" w:eastAsia="Times New Roman" w:hAnsi="Times New Roman"/>
          <w:sz w:val="24"/>
          <w:szCs w:val="24"/>
          <w:lang w:eastAsia="ru-RU"/>
        </w:rPr>
        <w:t xml:space="preserve">. По </w:t>
      </w:r>
      <w:r w:rsidR="000470C4">
        <w:rPr>
          <w:rFonts w:ascii="Times New Roman" w:eastAsia="Times New Roman" w:hAnsi="Times New Roman"/>
          <w:sz w:val="24"/>
          <w:szCs w:val="24"/>
          <w:lang w:eastAsia="ru-RU"/>
        </w:rPr>
        <w:t>74</w:t>
      </w:r>
      <w:r w:rsidR="00586FD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586FD6">
        <w:rPr>
          <w:rFonts w:ascii="Times New Roman" w:eastAsia="Times New Roman" w:hAnsi="Times New Roman"/>
          <w:sz w:val="24"/>
          <w:szCs w:val="24"/>
          <w:lang w:eastAsia="ru-RU"/>
        </w:rPr>
        <w:t xml:space="preserve">из </w:t>
      </w:r>
      <w:r w:rsidR="000470C4">
        <w:rPr>
          <w:rFonts w:ascii="Times New Roman" w:eastAsia="Times New Roman" w:hAnsi="Times New Roman"/>
          <w:sz w:val="24"/>
          <w:szCs w:val="24"/>
          <w:lang w:eastAsia="ru-RU"/>
        </w:rPr>
        <w:t>96</w:t>
      </w:r>
      <w:r w:rsidRPr="00586FD6">
        <w:rPr>
          <w:rFonts w:ascii="Times New Roman" w:eastAsia="Times New Roman" w:hAnsi="Times New Roman"/>
          <w:sz w:val="24"/>
          <w:szCs w:val="24"/>
          <w:lang w:eastAsia="ru-RU"/>
        </w:rPr>
        <w:t xml:space="preserve"> целевых</w:t>
      </w:r>
      <w:r w:rsidR="00586FD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586FD6">
        <w:rPr>
          <w:rFonts w:ascii="Times New Roman" w:eastAsia="Times New Roman" w:hAnsi="Times New Roman"/>
          <w:sz w:val="24"/>
          <w:szCs w:val="24"/>
          <w:lang w:eastAsia="ru-RU"/>
        </w:rPr>
        <w:t>индикаторов, по кото</w:t>
      </w:r>
      <w:r w:rsidR="00371B4F" w:rsidRPr="00586FD6">
        <w:rPr>
          <w:rFonts w:ascii="Times New Roman" w:eastAsia="Times New Roman" w:hAnsi="Times New Roman"/>
          <w:sz w:val="24"/>
          <w:szCs w:val="24"/>
          <w:lang w:eastAsia="ru-RU"/>
        </w:rPr>
        <w:t xml:space="preserve">рым к моменту отчета </w:t>
      </w:r>
      <w:r w:rsidRPr="00586FD6">
        <w:rPr>
          <w:rFonts w:ascii="Times New Roman" w:eastAsia="Times New Roman" w:hAnsi="Times New Roman"/>
          <w:sz w:val="24"/>
          <w:szCs w:val="24"/>
          <w:lang w:eastAsia="ru-RU"/>
        </w:rPr>
        <w:t xml:space="preserve">ответственными исполнителями представлена информация, плановые значения </w:t>
      </w:r>
      <w:r w:rsidR="00586FD6">
        <w:rPr>
          <w:rFonts w:ascii="Times New Roman" w:eastAsia="Times New Roman" w:hAnsi="Times New Roman"/>
          <w:sz w:val="24"/>
          <w:szCs w:val="24"/>
          <w:lang w:eastAsia="ru-RU"/>
        </w:rPr>
        <w:t>достигнуты или</w:t>
      </w:r>
      <w:r w:rsidRPr="00586FD6">
        <w:rPr>
          <w:rFonts w:ascii="Times New Roman" w:eastAsia="Times New Roman" w:hAnsi="Times New Roman"/>
          <w:sz w:val="24"/>
          <w:szCs w:val="24"/>
          <w:lang w:eastAsia="ru-RU"/>
        </w:rPr>
        <w:t xml:space="preserve"> выполнены более чем на 100%.</w:t>
      </w:r>
    </w:p>
    <w:p w:rsidR="00E32D19" w:rsidRPr="00586FD6" w:rsidRDefault="00E32D19" w:rsidP="00411BE5">
      <w:pPr>
        <w:spacing w:after="0" w:line="240" w:lineRule="auto"/>
        <w:ind w:right="-1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6FD6">
        <w:rPr>
          <w:rFonts w:ascii="Times New Roman" w:eastAsia="Times New Roman" w:hAnsi="Times New Roman"/>
          <w:sz w:val="24"/>
          <w:szCs w:val="24"/>
          <w:lang w:eastAsia="ru-RU"/>
        </w:rPr>
        <w:t xml:space="preserve">По </w:t>
      </w:r>
      <w:r w:rsidR="000470C4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586FD6">
        <w:rPr>
          <w:rFonts w:ascii="Times New Roman" w:eastAsia="Times New Roman" w:hAnsi="Times New Roman"/>
          <w:sz w:val="24"/>
          <w:szCs w:val="24"/>
          <w:lang w:eastAsia="ru-RU"/>
        </w:rPr>
        <w:t xml:space="preserve"> показател</w:t>
      </w:r>
      <w:r w:rsidR="000470C4">
        <w:rPr>
          <w:rFonts w:ascii="Times New Roman" w:eastAsia="Times New Roman" w:hAnsi="Times New Roman"/>
          <w:sz w:val="24"/>
          <w:szCs w:val="24"/>
          <w:lang w:eastAsia="ru-RU"/>
        </w:rPr>
        <w:t>ю</w:t>
      </w:r>
      <w:r w:rsidR="00586FD6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586FD6">
        <w:rPr>
          <w:rFonts w:ascii="Times New Roman" w:eastAsia="Times New Roman" w:hAnsi="Times New Roman"/>
          <w:sz w:val="24"/>
          <w:szCs w:val="24"/>
          <w:lang w:eastAsia="ru-RU"/>
        </w:rPr>
        <w:t xml:space="preserve">из </w:t>
      </w:r>
      <w:r w:rsidR="000470C4">
        <w:rPr>
          <w:rFonts w:ascii="Times New Roman" w:eastAsia="Times New Roman" w:hAnsi="Times New Roman"/>
          <w:sz w:val="24"/>
          <w:szCs w:val="24"/>
          <w:lang w:eastAsia="ru-RU"/>
        </w:rPr>
        <w:t>96</w:t>
      </w:r>
      <w:r w:rsidRPr="00586FD6">
        <w:rPr>
          <w:rFonts w:ascii="Times New Roman" w:eastAsia="Times New Roman" w:hAnsi="Times New Roman"/>
          <w:sz w:val="24"/>
          <w:szCs w:val="24"/>
          <w:lang w:eastAsia="ru-RU"/>
        </w:rPr>
        <w:t xml:space="preserve"> степень выполнения плана определить невозможно из-за отсутствия информации. В сравнении с 201</w:t>
      </w:r>
      <w:r w:rsidR="000470C4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586FD6">
        <w:rPr>
          <w:rFonts w:ascii="Times New Roman" w:eastAsia="Times New Roman" w:hAnsi="Times New Roman"/>
          <w:sz w:val="24"/>
          <w:szCs w:val="24"/>
          <w:lang w:eastAsia="ru-RU"/>
        </w:rPr>
        <w:t xml:space="preserve"> годом количество целевых индикаторов </w:t>
      </w:r>
      <w:r w:rsidR="000470C4">
        <w:rPr>
          <w:rFonts w:ascii="Times New Roman" w:eastAsia="Times New Roman" w:hAnsi="Times New Roman"/>
          <w:sz w:val="24"/>
          <w:szCs w:val="24"/>
          <w:lang w:eastAsia="ru-RU"/>
        </w:rPr>
        <w:t>сократилось</w:t>
      </w:r>
      <w:r w:rsidRPr="00586FD6">
        <w:rPr>
          <w:rFonts w:ascii="Times New Roman" w:eastAsia="Times New Roman" w:hAnsi="Times New Roman"/>
          <w:sz w:val="24"/>
          <w:szCs w:val="24"/>
          <w:lang w:eastAsia="ru-RU"/>
        </w:rPr>
        <w:t xml:space="preserve"> на </w:t>
      </w:r>
      <w:r w:rsidR="000470C4">
        <w:rPr>
          <w:rFonts w:ascii="Times New Roman" w:eastAsia="Times New Roman" w:hAnsi="Times New Roman"/>
          <w:sz w:val="24"/>
          <w:szCs w:val="24"/>
          <w:lang w:eastAsia="ru-RU"/>
        </w:rPr>
        <w:t>120</w:t>
      </w:r>
      <w:r w:rsidRPr="00586FD6">
        <w:rPr>
          <w:rFonts w:ascii="Times New Roman" w:eastAsia="Times New Roman" w:hAnsi="Times New Roman"/>
          <w:sz w:val="24"/>
          <w:szCs w:val="24"/>
          <w:lang w:eastAsia="ru-RU"/>
        </w:rPr>
        <w:t xml:space="preserve">, а количество не представленных </w:t>
      </w:r>
      <w:r w:rsidR="000470C4">
        <w:rPr>
          <w:rFonts w:ascii="Times New Roman" w:eastAsia="Times New Roman" w:hAnsi="Times New Roman"/>
          <w:sz w:val="24"/>
          <w:szCs w:val="24"/>
          <w:lang w:eastAsia="ru-RU"/>
        </w:rPr>
        <w:t>уменьшилось</w:t>
      </w:r>
      <w:r w:rsidRPr="00586FD6">
        <w:rPr>
          <w:rFonts w:ascii="Times New Roman" w:eastAsia="Times New Roman" w:hAnsi="Times New Roman"/>
          <w:sz w:val="24"/>
          <w:szCs w:val="24"/>
          <w:lang w:eastAsia="ru-RU"/>
        </w:rPr>
        <w:t xml:space="preserve"> на </w:t>
      </w:r>
      <w:r w:rsidR="000470C4"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Pr="00586FD6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E32D19" w:rsidRPr="00D17AB0" w:rsidRDefault="00E32D19" w:rsidP="00411BE5">
      <w:pPr>
        <w:spacing w:after="0" w:line="240" w:lineRule="auto"/>
        <w:ind w:right="-1" w:firstLine="426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86F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Оценка эффективности ведомственных и долгосрочных целевых программ, проведённая в соответствии с Постановлением Мэра г. Переславля-Залесского от 01.12.2008 года №1367 «Об утверждении порядка разработки, принятия и реализации целевых программ», представлена в приложении </w:t>
      </w:r>
      <w:r w:rsidR="002B35D6" w:rsidRPr="00586F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«Рейтинг целевых программ по итоговой сводной оценке баллов за 201</w:t>
      </w:r>
      <w:r w:rsidR="000470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</w:t>
      </w:r>
      <w:bookmarkStart w:id="0" w:name="_GoBack"/>
      <w:bookmarkEnd w:id="0"/>
      <w:r w:rsidR="002B35D6" w:rsidRPr="00586F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год»</w:t>
      </w:r>
      <w:r w:rsidRPr="00586F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E32D19" w:rsidRDefault="00E32D19" w:rsidP="00E32D19"/>
    <w:sectPr w:rsidR="00E32D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048F"/>
    <w:rsid w:val="00000282"/>
    <w:rsid w:val="00002513"/>
    <w:rsid w:val="00004141"/>
    <w:rsid w:val="00017E89"/>
    <w:rsid w:val="000306C0"/>
    <w:rsid w:val="0003725B"/>
    <w:rsid w:val="0004003D"/>
    <w:rsid w:val="0004675A"/>
    <w:rsid w:val="000470C4"/>
    <w:rsid w:val="0005048F"/>
    <w:rsid w:val="00054144"/>
    <w:rsid w:val="00060340"/>
    <w:rsid w:val="0006793E"/>
    <w:rsid w:val="000712A2"/>
    <w:rsid w:val="00083810"/>
    <w:rsid w:val="000A1C5B"/>
    <w:rsid w:val="000A31B2"/>
    <w:rsid w:val="000A63DB"/>
    <w:rsid w:val="000A72F3"/>
    <w:rsid w:val="000B6366"/>
    <w:rsid w:val="000C272F"/>
    <w:rsid w:val="000C7C71"/>
    <w:rsid w:val="000D0C0E"/>
    <w:rsid w:val="000D60E7"/>
    <w:rsid w:val="000E5FBA"/>
    <w:rsid w:val="000F5555"/>
    <w:rsid w:val="001048F4"/>
    <w:rsid w:val="00111032"/>
    <w:rsid w:val="00114F28"/>
    <w:rsid w:val="00115541"/>
    <w:rsid w:val="00121E9D"/>
    <w:rsid w:val="00125172"/>
    <w:rsid w:val="00130BCC"/>
    <w:rsid w:val="00137665"/>
    <w:rsid w:val="00141301"/>
    <w:rsid w:val="00143728"/>
    <w:rsid w:val="00147559"/>
    <w:rsid w:val="001506B1"/>
    <w:rsid w:val="00152517"/>
    <w:rsid w:val="00153273"/>
    <w:rsid w:val="00163CB1"/>
    <w:rsid w:val="001667E5"/>
    <w:rsid w:val="00166A37"/>
    <w:rsid w:val="00167C42"/>
    <w:rsid w:val="00172C20"/>
    <w:rsid w:val="00183FCE"/>
    <w:rsid w:val="00185F08"/>
    <w:rsid w:val="001920D5"/>
    <w:rsid w:val="00192B04"/>
    <w:rsid w:val="0019374B"/>
    <w:rsid w:val="00194705"/>
    <w:rsid w:val="001B24E0"/>
    <w:rsid w:val="001B26BC"/>
    <w:rsid w:val="001B4EC7"/>
    <w:rsid w:val="001B6054"/>
    <w:rsid w:val="001C1B05"/>
    <w:rsid w:val="001C3A6F"/>
    <w:rsid w:val="001C3BDE"/>
    <w:rsid w:val="001D0020"/>
    <w:rsid w:val="001E093A"/>
    <w:rsid w:val="001E12AF"/>
    <w:rsid w:val="001E6F62"/>
    <w:rsid w:val="001E70E9"/>
    <w:rsid w:val="001F757B"/>
    <w:rsid w:val="0020416B"/>
    <w:rsid w:val="002166B6"/>
    <w:rsid w:val="0021745F"/>
    <w:rsid w:val="00217A98"/>
    <w:rsid w:val="00217D6A"/>
    <w:rsid w:val="002202A2"/>
    <w:rsid w:val="002274C3"/>
    <w:rsid w:val="002378AF"/>
    <w:rsid w:val="00247CD8"/>
    <w:rsid w:val="00247F9B"/>
    <w:rsid w:val="0025084D"/>
    <w:rsid w:val="00251B7D"/>
    <w:rsid w:val="00264095"/>
    <w:rsid w:val="0026602A"/>
    <w:rsid w:val="00266734"/>
    <w:rsid w:val="002729F7"/>
    <w:rsid w:val="00286B90"/>
    <w:rsid w:val="00287A10"/>
    <w:rsid w:val="00290951"/>
    <w:rsid w:val="00292A7E"/>
    <w:rsid w:val="0029306F"/>
    <w:rsid w:val="002A1E6C"/>
    <w:rsid w:val="002B35D6"/>
    <w:rsid w:val="002B3CDA"/>
    <w:rsid w:val="002C1DDA"/>
    <w:rsid w:val="002C55BD"/>
    <w:rsid w:val="002E6724"/>
    <w:rsid w:val="002F4CFA"/>
    <w:rsid w:val="002F5FBC"/>
    <w:rsid w:val="00304B41"/>
    <w:rsid w:val="003055A4"/>
    <w:rsid w:val="0032030C"/>
    <w:rsid w:val="0032074A"/>
    <w:rsid w:val="00326823"/>
    <w:rsid w:val="0033090B"/>
    <w:rsid w:val="00331A8F"/>
    <w:rsid w:val="00331F84"/>
    <w:rsid w:val="003537E8"/>
    <w:rsid w:val="003671C2"/>
    <w:rsid w:val="00370E16"/>
    <w:rsid w:val="00371B4F"/>
    <w:rsid w:val="00373C82"/>
    <w:rsid w:val="00375232"/>
    <w:rsid w:val="0037662C"/>
    <w:rsid w:val="00390912"/>
    <w:rsid w:val="00392E4A"/>
    <w:rsid w:val="003954AD"/>
    <w:rsid w:val="003965EB"/>
    <w:rsid w:val="003A2150"/>
    <w:rsid w:val="003B0D80"/>
    <w:rsid w:val="003B5A3E"/>
    <w:rsid w:val="003B6920"/>
    <w:rsid w:val="003C7CF5"/>
    <w:rsid w:val="003D1C21"/>
    <w:rsid w:val="003D5217"/>
    <w:rsid w:val="003D729B"/>
    <w:rsid w:val="0040286E"/>
    <w:rsid w:val="00406797"/>
    <w:rsid w:val="00411BE5"/>
    <w:rsid w:val="00414C08"/>
    <w:rsid w:val="00421911"/>
    <w:rsid w:val="00421D02"/>
    <w:rsid w:val="0042376D"/>
    <w:rsid w:val="0043288D"/>
    <w:rsid w:val="004330C9"/>
    <w:rsid w:val="00441493"/>
    <w:rsid w:val="00447E9F"/>
    <w:rsid w:val="00450E00"/>
    <w:rsid w:val="00451338"/>
    <w:rsid w:val="00463065"/>
    <w:rsid w:val="004639EB"/>
    <w:rsid w:val="0046507C"/>
    <w:rsid w:val="004667B0"/>
    <w:rsid w:val="00473DF2"/>
    <w:rsid w:val="00477062"/>
    <w:rsid w:val="00487428"/>
    <w:rsid w:val="004927E2"/>
    <w:rsid w:val="00493D82"/>
    <w:rsid w:val="00495334"/>
    <w:rsid w:val="004A1BC0"/>
    <w:rsid w:val="004A4324"/>
    <w:rsid w:val="004A5A22"/>
    <w:rsid w:val="004B260C"/>
    <w:rsid w:val="004C11D2"/>
    <w:rsid w:val="004C22CB"/>
    <w:rsid w:val="004C2C78"/>
    <w:rsid w:val="004D77F5"/>
    <w:rsid w:val="004E087F"/>
    <w:rsid w:val="004E2DBE"/>
    <w:rsid w:val="004E735C"/>
    <w:rsid w:val="004F1348"/>
    <w:rsid w:val="004F337F"/>
    <w:rsid w:val="00501229"/>
    <w:rsid w:val="00503592"/>
    <w:rsid w:val="00504806"/>
    <w:rsid w:val="00511B00"/>
    <w:rsid w:val="00513CC3"/>
    <w:rsid w:val="00516F18"/>
    <w:rsid w:val="00530D22"/>
    <w:rsid w:val="005311B7"/>
    <w:rsid w:val="00546E3F"/>
    <w:rsid w:val="005473C4"/>
    <w:rsid w:val="0055500A"/>
    <w:rsid w:val="0057026C"/>
    <w:rsid w:val="00583E03"/>
    <w:rsid w:val="00585321"/>
    <w:rsid w:val="00586FD6"/>
    <w:rsid w:val="00592084"/>
    <w:rsid w:val="005955D7"/>
    <w:rsid w:val="00597D4B"/>
    <w:rsid w:val="005A17D2"/>
    <w:rsid w:val="005B504D"/>
    <w:rsid w:val="005C14FD"/>
    <w:rsid w:val="005C224C"/>
    <w:rsid w:val="005C65C0"/>
    <w:rsid w:val="005D02E1"/>
    <w:rsid w:val="005D1656"/>
    <w:rsid w:val="005E37F8"/>
    <w:rsid w:val="005E6594"/>
    <w:rsid w:val="005E724A"/>
    <w:rsid w:val="005F0B76"/>
    <w:rsid w:val="005F32E4"/>
    <w:rsid w:val="005F3AC9"/>
    <w:rsid w:val="0061366A"/>
    <w:rsid w:val="006172CE"/>
    <w:rsid w:val="00620FD9"/>
    <w:rsid w:val="006435F8"/>
    <w:rsid w:val="00645E33"/>
    <w:rsid w:val="00654E5D"/>
    <w:rsid w:val="00656BF0"/>
    <w:rsid w:val="00664496"/>
    <w:rsid w:val="00671ED5"/>
    <w:rsid w:val="006724A3"/>
    <w:rsid w:val="006865D9"/>
    <w:rsid w:val="00694FA3"/>
    <w:rsid w:val="0069672E"/>
    <w:rsid w:val="006A2364"/>
    <w:rsid w:val="006C1685"/>
    <w:rsid w:val="006E34D9"/>
    <w:rsid w:val="006E4B72"/>
    <w:rsid w:val="006E61AA"/>
    <w:rsid w:val="006E7AD1"/>
    <w:rsid w:val="006F0190"/>
    <w:rsid w:val="006F7C05"/>
    <w:rsid w:val="00700162"/>
    <w:rsid w:val="0070558E"/>
    <w:rsid w:val="00717E3F"/>
    <w:rsid w:val="0073624B"/>
    <w:rsid w:val="00750A63"/>
    <w:rsid w:val="00753D53"/>
    <w:rsid w:val="007569C3"/>
    <w:rsid w:val="007576B9"/>
    <w:rsid w:val="0076089A"/>
    <w:rsid w:val="00761F7E"/>
    <w:rsid w:val="00770765"/>
    <w:rsid w:val="00781BC4"/>
    <w:rsid w:val="007831C6"/>
    <w:rsid w:val="007876F2"/>
    <w:rsid w:val="007931FD"/>
    <w:rsid w:val="007A6E6C"/>
    <w:rsid w:val="007A70DD"/>
    <w:rsid w:val="007A72FF"/>
    <w:rsid w:val="007A7CA9"/>
    <w:rsid w:val="007B0332"/>
    <w:rsid w:val="007B331A"/>
    <w:rsid w:val="007B3F65"/>
    <w:rsid w:val="007C06C9"/>
    <w:rsid w:val="007E1FB7"/>
    <w:rsid w:val="007E7B0A"/>
    <w:rsid w:val="00800E77"/>
    <w:rsid w:val="00804E39"/>
    <w:rsid w:val="0080739F"/>
    <w:rsid w:val="0082395A"/>
    <w:rsid w:val="00826402"/>
    <w:rsid w:val="00831EBF"/>
    <w:rsid w:val="008417A8"/>
    <w:rsid w:val="0084206E"/>
    <w:rsid w:val="008440F7"/>
    <w:rsid w:val="008511E3"/>
    <w:rsid w:val="00857B32"/>
    <w:rsid w:val="00857FDC"/>
    <w:rsid w:val="00860455"/>
    <w:rsid w:val="00863D14"/>
    <w:rsid w:val="008676DD"/>
    <w:rsid w:val="00873A24"/>
    <w:rsid w:val="0088113C"/>
    <w:rsid w:val="00884120"/>
    <w:rsid w:val="00884D33"/>
    <w:rsid w:val="00886480"/>
    <w:rsid w:val="00887960"/>
    <w:rsid w:val="008A3812"/>
    <w:rsid w:val="008B5BC5"/>
    <w:rsid w:val="008B5E1A"/>
    <w:rsid w:val="008B7F08"/>
    <w:rsid w:val="008C4081"/>
    <w:rsid w:val="008D2FAD"/>
    <w:rsid w:val="008F5307"/>
    <w:rsid w:val="008F62B6"/>
    <w:rsid w:val="009067B6"/>
    <w:rsid w:val="009072B3"/>
    <w:rsid w:val="0091160A"/>
    <w:rsid w:val="0091190E"/>
    <w:rsid w:val="00934A89"/>
    <w:rsid w:val="00954CCC"/>
    <w:rsid w:val="0096350F"/>
    <w:rsid w:val="009642C2"/>
    <w:rsid w:val="00965691"/>
    <w:rsid w:val="009764A4"/>
    <w:rsid w:val="00984C0C"/>
    <w:rsid w:val="00986576"/>
    <w:rsid w:val="00990452"/>
    <w:rsid w:val="009944D2"/>
    <w:rsid w:val="00997E6B"/>
    <w:rsid w:val="009A47F7"/>
    <w:rsid w:val="009A7E07"/>
    <w:rsid w:val="009B2063"/>
    <w:rsid w:val="009B6350"/>
    <w:rsid w:val="009D262A"/>
    <w:rsid w:val="009D3269"/>
    <w:rsid w:val="009D5300"/>
    <w:rsid w:val="009E3E11"/>
    <w:rsid w:val="009E566A"/>
    <w:rsid w:val="009E670C"/>
    <w:rsid w:val="009E6A60"/>
    <w:rsid w:val="009F6A6D"/>
    <w:rsid w:val="00A15529"/>
    <w:rsid w:val="00A27874"/>
    <w:rsid w:val="00A311DB"/>
    <w:rsid w:val="00A327C9"/>
    <w:rsid w:val="00A3712F"/>
    <w:rsid w:val="00A427EC"/>
    <w:rsid w:val="00A43122"/>
    <w:rsid w:val="00A45309"/>
    <w:rsid w:val="00A542E6"/>
    <w:rsid w:val="00A55888"/>
    <w:rsid w:val="00A57EE8"/>
    <w:rsid w:val="00A7313B"/>
    <w:rsid w:val="00A8017B"/>
    <w:rsid w:val="00A87898"/>
    <w:rsid w:val="00AA0B5A"/>
    <w:rsid w:val="00AB316F"/>
    <w:rsid w:val="00AC0AB0"/>
    <w:rsid w:val="00AC162A"/>
    <w:rsid w:val="00AC28DD"/>
    <w:rsid w:val="00AC4290"/>
    <w:rsid w:val="00AC57FA"/>
    <w:rsid w:val="00AC5C3F"/>
    <w:rsid w:val="00AE211F"/>
    <w:rsid w:val="00AE3218"/>
    <w:rsid w:val="00AE4EF8"/>
    <w:rsid w:val="00AF7DEE"/>
    <w:rsid w:val="00B06A2B"/>
    <w:rsid w:val="00B16992"/>
    <w:rsid w:val="00B3173F"/>
    <w:rsid w:val="00B420BC"/>
    <w:rsid w:val="00B4438E"/>
    <w:rsid w:val="00B51075"/>
    <w:rsid w:val="00B538C5"/>
    <w:rsid w:val="00B740AF"/>
    <w:rsid w:val="00B8157F"/>
    <w:rsid w:val="00B847CC"/>
    <w:rsid w:val="00B93F1A"/>
    <w:rsid w:val="00BA209F"/>
    <w:rsid w:val="00BA2666"/>
    <w:rsid w:val="00BA560B"/>
    <w:rsid w:val="00BB3765"/>
    <w:rsid w:val="00BB41C3"/>
    <w:rsid w:val="00BC100D"/>
    <w:rsid w:val="00BC3C09"/>
    <w:rsid w:val="00BD2499"/>
    <w:rsid w:val="00BE0E01"/>
    <w:rsid w:val="00BE7BCF"/>
    <w:rsid w:val="00BF2B65"/>
    <w:rsid w:val="00BF34C3"/>
    <w:rsid w:val="00C07941"/>
    <w:rsid w:val="00C10B39"/>
    <w:rsid w:val="00C13F67"/>
    <w:rsid w:val="00C1510E"/>
    <w:rsid w:val="00C159BD"/>
    <w:rsid w:val="00C24C47"/>
    <w:rsid w:val="00C60EBD"/>
    <w:rsid w:val="00C71926"/>
    <w:rsid w:val="00C75E7D"/>
    <w:rsid w:val="00C8656B"/>
    <w:rsid w:val="00CA0B7B"/>
    <w:rsid w:val="00CB04D0"/>
    <w:rsid w:val="00CB297F"/>
    <w:rsid w:val="00CC1BDC"/>
    <w:rsid w:val="00CC2D0F"/>
    <w:rsid w:val="00CC5844"/>
    <w:rsid w:val="00CD2C69"/>
    <w:rsid w:val="00CD4D55"/>
    <w:rsid w:val="00CE0C16"/>
    <w:rsid w:val="00CE1060"/>
    <w:rsid w:val="00CE131B"/>
    <w:rsid w:val="00CE22B5"/>
    <w:rsid w:val="00CF398D"/>
    <w:rsid w:val="00D05F2E"/>
    <w:rsid w:val="00D17AB0"/>
    <w:rsid w:val="00D20E6D"/>
    <w:rsid w:val="00D22730"/>
    <w:rsid w:val="00D22C6B"/>
    <w:rsid w:val="00D278B9"/>
    <w:rsid w:val="00D27FFE"/>
    <w:rsid w:val="00D30EED"/>
    <w:rsid w:val="00D360F4"/>
    <w:rsid w:val="00D37B87"/>
    <w:rsid w:val="00D44696"/>
    <w:rsid w:val="00D45972"/>
    <w:rsid w:val="00D46BCE"/>
    <w:rsid w:val="00D509F5"/>
    <w:rsid w:val="00D67F0B"/>
    <w:rsid w:val="00D76FCF"/>
    <w:rsid w:val="00D816F4"/>
    <w:rsid w:val="00D81730"/>
    <w:rsid w:val="00D84647"/>
    <w:rsid w:val="00D85630"/>
    <w:rsid w:val="00D90908"/>
    <w:rsid w:val="00D97A8C"/>
    <w:rsid w:val="00DA6121"/>
    <w:rsid w:val="00DC238C"/>
    <w:rsid w:val="00DC6196"/>
    <w:rsid w:val="00DE4AAE"/>
    <w:rsid w:val="00DE5A13"/>
    <w:rsid w:val="00DE60D7"/>
    <w:rsid w:val="00DE704A"/>
    <w:rsid w:val="00DF78B5"/>
    <w:rsid w:val="00E038D2"/>
    <w:rsid w:val="00E12E0D"/>
    <w:rsid w:val="00E144CA"/>
    <w:rsid w:val="00E1737A"/>
    <w:rsid w:val="00E27BED"/>
    <w:rsid w:val="00E32D19"/>
    <w:rsid w:val="00E33471"/>
    <w:rsid w:val="00E37641"/>
    <w:rsid w:val="00E532F0"/>
    <w:rsid w:val="00E54A89"/>
    <w:rsid w:val="00E60292"/>
    <w:rsid w:val="00E71F25"/>
    <w:rsid w:val="00E74405"/>
    <w:rsid w:val="00E75F2D"/>
    <w:rsid w:val="00E777B3"/>
    <w:rsid w:val="00E777CE"/>
    <w:rsid w:val="00E961AC"/>
    <w:rsid w:val="00EA02AC"/>
    <w:rsid w:val="00EA035E"/>
    <w:rsid w:val="00EB33BB"/>
    <w:rsid w:val="00EB4FCE"/>
    <w:rsid w:val="00EC5373"/>
    <w:rsid w:val="00ED1A24"/>
    <w:rsid w:val="00EE1CFA"/>
    <w:rsid w:val="00EE3088"/>
    <w:rsid w:val="00EE31D2"/>
    <w:rsid w:val="00EF0EBD"/>
    <w:rsid w:val="00EF25E9"/>
    <w:rsid w:val="00EF3902"/>
    <w:rsid w:val="00EF51D9"/>
    <w:rsid w:val="00F00A91"/>
    <w:rsid w:val="00F0794B"/>
    <w:rsid w:val="00F22390"/>
    <w:rsid w:val="00F25ACC"/>
    <w:rsid w:val="00F34145"/>
    <w:rsid w:val="00F43C84"/>
    <w:rsid w:val="00F524A2"/>
    <w:rsid w:val="00F54F5D"/>
    <w:rsid w:val="00F554D8"/>
    <w:rsid w:val="00F57F8F"/>
    <w:rsid w:val="00F64E8F"/>
    <w:rsid w:val="00F71E4A"/>
    <w:rsid w:val="00F92850"/>
    <w:rsid w:val="00F92B5C"/>
    <w:rsid w:val="00F92BAC"/>
    <w:rsid w:val="00F94C4E"/>
    <w:rsid w:val="00F95DC4"/>
    <w:rsid w:val="00F96B66"/>
    <w:rsid w:val="00FA039D"/>
    <w:rsid w:val="00FD0AEA"/>
    <w:rsid w:val="00FE0D06"/>
    <w:rsid w:val="00FF4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7F35513-2E95-49BB-B33D-0D13EBC71D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048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"/>
    <w:basedOn w:val="a"/>
    <w:rsid w:val="0005048F"/>
    <w:pPr>
      <w:spacing w:after="160" w:line="240" w:lineRule="exact"/>
      <w:jc w:val="both"/>
    </w:pPr>
    <w:rPr>
      <w:rFonts w:ascii="Verdana" w:eastAsia="Times New Roman" w:hAnsi="Verdana"/>
      <w:sz w:val="20"/>
      <w:szCs w:val="20"/>
      <w:lang w:val="en-US"/>
    </w:rPr>
  </w:style>
  <w:style w:type="paragraph" w:styleId="a4">
    <w:name w:val="Balloon Text"/>
    <w:basedOn w:val="a"/>
    <w:link w:val="a5"/>
    <w:uiPriority w:val="99"/>
    <w:semiHidden/>
    <w:unhideWhenUsed/>
    <w:rsid w:val="000400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4003D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hart" Target="charts/chart3.xml"/><Relationship Id="rId5" Type="http://schemas.openxmlformats.org/officeDocument/2006/relationships/chart" Target="charts/chart2.xml"/><Relationship Id="rId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1.xlsx"/><Relationship Id="rId2" Type="http://schemas.microsoft.com/office/2011/relationships/chartColorStyle" Target="colors1.xml"/><Relationship Id="rId1" Type="http://schemas.microsoft.com/office/2011/relationships/chartStyle" Target="style1.xml"/><Relationship Id="rId4" Type="http://schemas.openxmlformats.org/officeDocument/2006/relationships/chartUserShapes" Target="../drawings/drawing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2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3.xlsx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2000" b="0" i="0" u="none" strike="noStrike" kern="1200" cap="none" spc="0" normalizeH="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j-ea"/>
                <a:cs typeface="Times New Roman" panose="02020603050405020304" pitchFamily="18" charset="0"/>
              </a:defRPr>
            </a:pPr>
            <a:r>
              <a:rPr lang="ru-RU" sz="1100">
                <a:solidFill>
                  <a:sysClr val="windowText" lastClr="000000"/>
                </a:solidFill>
                <a:latin typeface="Times New Roman" panose="02020603050405020304" pitchFamily="18" charset="0"/>
                <a:cs typeface="Times New Roman" panose="02020603050405020304" pitchFamily="18" charset="0"/>
              </a:rPr>
              <a:t>Рис. 1. Финансирование программ в 2014 году из городского бюджета, тыс. руб. </a:t>
            </a:r>
          </a:p>
        </c:rich>
      </c:tx>
      <c:layout>
        <c:manualLayout>
          <c:xMode val="edge"/>
          <c:yMode val="edge"/>
          <c:x val="0.13446909667194928"/>
          <c:y val="0.84720680725120234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2000" b="0" i="0" u="none" strike="noStrike" kern="1200" cap="none" spc="0" normalizeH="0" baseline="0">
              <a:solidFill>
                <a:schemeClr val="tx1">
                  <a:lumMod val="65000"/>
                  <a:lumOff val="35000"/>
                </a:schemeClr>
              </a:solidFill>
              <a:latin typeface="Times New Roman" panose="02020603050405020304" pitchFamily="18" charset="0"/>
              <a:ea typeface="+mj-ea"/>
              <a:cs typeface="Times New Roman" panose="02020603050405020304" pitchFamily="18" charset="0"/>
            </a:defRPr>
          </a:pPr>
          <a:endParaRPr lang="ru-RU"/>
        </a:p>
      </c:txPr>
    </c:title>
    <c:autoTitleDeleted val="0"/>
    <c:plotArea>
      <c:layout>
        <c:manualLayout>
          <c:layoutTarget val="inner"/>
          <c:xMode val="edge"/>
          <c:yMode val="edge"/>
          <c:x val="0.20827158203162749"/>
          <c:y val="8.830986859162028E-2"/>
          <c:w val="0.76267399564745131"/>
          <c:h val="0.67048307363355386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Лист1!$A$2</c:f>
              <c:strCache>
                <c:ptCount val="1"/>
                <c:pt idx="0">
                  <c:v>План</c:v>
                </c:pt>
              </c:strCache>
            </c:strRef>
          </c:tx>
          <c:spPr>
            <a:solidFill>
              <a:srgbClr val="99FF99"/>
            </a:solidFill>
            <a:ln>
              <a:solidFill>
                <a:schemeClr val="tx1"/>
              </a:solidFill>
            </a:ln>
            <a:effectLst/>
          </c:spPr>
          <c:invertIfNegative val="0"/>
          <c:dLbls>
            <c:spPr>
              <a:solidFill>
                <a:schemeClr val="bg1"/>
              </a:solidFill>
              <a:ln>
                <a:solidFill>
                  <a:schemeClr val="tx1"/>
                </a:solidFill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numRef>
              <c:f>Лист1!$B$1:$C$1</c:f>
              <c:numCache>
                <c:formatCode>General</c:formatCode>
                <c:ptCount val="2"/>
                <c:pt idx="0">
                  <c:v>2013</c:v>
                </c:pt>
                <c:pt idx="1">
                  <c:v>2014</c:v>
                </c:pt>
              </c:numCache>
            </c:numRef>
          </c:cat>
          <c:val>
            <c:numRef>
              <c:f>Лист1!$B$2:$C$2</c:f>
              <c:numCache>
                <c:formatCode>#,##0.0</c:formatCode>
                <c:ptCount val="2"/>
                <c:pt idx="0">
                  <c:v>1052092</c:v>
                </c:pt>
                <c:pt idx="1">
                  <c:v>1417548.7</c:v>
                </c:pt>
              </c:numCache>
            </c:numRef>
          </c:val>
        </c:ser>
        <c:ser>
          <c:idx val="1"/>
          <c:order val="1"/>
          <c:tx>
            <c:strRef>
              <c:f>Лист1!$A$3</c:f>
              <c:strCache>
                <c:ptCount val="1"/>
                <c:pt idx="0">
                  <c:v>Факт</c:v>
                </c:pt>
              </c:strCache>
            </c:strRef>
          </c:tx>
          <c:spPr>
            <a:solidFill>
              <a:srgbClr val="FFFF66"/>
            </a:solidFill>
            <a:ln>
              <a:solidFill>
                <a:schemeClr val="tx1"/>
              </a:solidFill>
            </a:ln>
            <a:effectLst/>
          </c:spPr>
          <c:invertIfNegative val="0"/>
          <c:dLbls>
            <c:spPr>
              <a:solidFill>
                <a:schemeClr val="bg1"/>
              </a:solidFill>
              <a:ln>
                <a:solidFill>
                  <a:schemeClr val="tx1"/>
                </a:solidFill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numRef>
              <c:f>Лист1!$B$1:$C$1</c:f>
              <c:numCache>
                <c:formatCode>General</c:formatCode>
                <c:ptCount val="2"/>
                <c:pt idx="0">
                  <c:v>2013</c:v>
                </c:pt>
                <c:pt idx="1">
                  <c:v>2014</c:v>
                </c:pt>
              </c:numCache>
            </c:numRef>
          </c:cat>
          <c:val>
            <c:numRef>
              <c:f>Лист1!$B$3:$C$3</c:f>
              <c:numCache>
                <c:formatCode>#,##0.0</c:formatCode>
                <c:ptCount val="2"/>
                <c:pt idx="0">
                  <c:v>925697.2</c:v>
                </c:pt>
                <c:pt idx="1">
                  <c:v>1350919.2</c:v>
                </c:pt>
              </c:numCache>
            </c:numRef>
          </c:val>
        </c:ser>
        <c:dLbls>
          <c:dLblPos val="inEnd"/>
          <c:showLegendKey val="0"/>
          <c:showVal val="1"/>
          <c:showCatName val="0"/>
          <c:showSerName val="0"/>
          <c:showPercent val="0"/>
          <c:showBubbleSize val="0"/>
        </c:dLbls>
        <c:gapWidth val="118"/>
        <c:axId val="362645936"/>
        <c:axId val="362646328"/>
      </c:barChart>
      <c:catAx>
        <c:axId val="36264593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cap="none" spc="0" normalizeH="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362646328"/>
        <c:crosses val="autoZero"/>
        <c:auto val="1"/>
        <c:lblAlgn val="ctr"/>
        <c:lblOffset val="100"/>
        <c:noMultiLvlLbl val="0"/>
      </c:catAx>
      <c:valAx>
        <c:axId val="36264632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minorGridlines>
          <c:spPr>
            <a:ln w="9525" cap="flat" cmpd="sng" algn="ctr">
              <a:solidFill>
                <a:schemeClr val="tx1">
                  <a:lumMod val="5000"/>
                  <a:lumOff val="95000"/>
                </a:schemeClr>
              </a:solidFill>
              <a:round/>
            </a:ln>
            <a:effectLst/>
          </c:spPr>
        </c:min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900" b="0" i="0" u="none" strike="noStrike" kern="1200" cap="all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cs typeface="Times New Roman" panose="02020603050405020304" pitchFamily="18" charset="0"/>
                  </a:rPr>
                  <a:t>тыс.</a:t>
                </a:r>
                <a:r>
                  <a:rPr lang="ru-RU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cs typeface="Times New Roman" panose="02020603050405020304" pitchFamily="18" charset="0"/>
                  </a:rPr>
                  <a:t> руб</a:t>
                </a:r>
                <a:r>
                  <a:rPr lang="ru-RU" baseline="0"/>
                  <a:t>.</a:t>
                </a:r>
                <a:endParaRPr lang="ru-RU"/>
              </a:p>
            </c:rich>
          </c:tx>
          <c:layout>
            <c:manualLayout>
              <c:xMode val="edge"/>
              <c:yMode val="edge"/>
              <c:x val="4.2034101906558666E-2"/>
              <c:y val="0.34092099475356924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900" b="0" i="0" u="none" strike="noStrike" kern="1200" cap="all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#,##0.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36264593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t"/>
      <c:layout>
        <c:manualLayout>
          <c:xMode val="edge"/>
          <c:yMode val="edge"/>
          <c:x val="0.28002466186572039"/>
          <c:y val="0.11622286115456433"/>
          <c:w val="0.18705425997008107"/>
          <c:h val="6.276053728578046E-2"/>
        </c:manualLayout>
      </c:layout>
      <c:overlay val="0"/>
      <c:spPr>
        <a:noFill/>
        <a:ln>
          <a:solidFill>
            <a:schemeClr val="tx1"/>
          </a:solidFill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00" b="0" i="0" u="none" strike="noStrike" kern="1200" baseline="0">
              <a:solidFill>
                <a:sysClr val="windowText" lastClr="000000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3175" cap="flat" cmpd="sng" algn="ctr">
      <a:solidFill>
        <a:schemeClr val="tx1">
          <a:alpha val="60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  <c:userShapes r:id="rId4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cap="none" spc="2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ru-RU" sz="1100">
                <a:solidFill>
                  <a:sysClr val="windowText" lastClr="000000"/>
                </a:solidFill>
                <a:latin typeface="Times New Roman" panose="02020603050405020304" pitchFamily="18" charset="0"/>
                <a:cs typeface="Times New Roman" panose="02020603050405020304" pitchFamily="18" charset="0"/>
              </a:rPr>
              <a:t>Рис. 2. Исполнение бюджета по действующим программам за 2014 год в разрезе источников бюджета (млн. руб.) </a:t>
            </a:r>
          </a:p>
        </c:rich>
      </c:tx>
      <c:layout>
        <c:manualLayout>
          <c:xMode val="edge"/>
          <c:yMode val="edge"/>
          <c:x val="0.10728796095610001"/>
          <c:y val="0.8503810669875652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cap="none" spc="20" baseline="0">
              <a:solidFill>
                <a:sysClr val="windowText" lastClr="000000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title>
    <c:autoTitleDeleted val="0"/>
    <c:view3D>
      <c:rotX val="30"/>
      <c:rotY val="0"/>
      <c:depthPercent val="10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5.4200542005420058E-2"/>
          <c:y val="0.17050308138795423"/>
          <c:w val="0.82384823848238486"/>
          <c:h val="0.61982292136390449"/>
        </c:manualLayout>
      </c:layout>
      <c:pie3DChart>
        <c:varyColors val="1"/>
        <c:ser>
          <c:idx val="0"/>
          <c:order val="0"/>
          <c:dPt>
            <c:idx val="0"/>
            <c:bubble3D val="0"/>
            <c:spPr>
              <a:solidFill>
                <a:srgbClr val="33CCFF"/>
              </a:solidFill>
              <a:ln>
                <a:noFill/>
              </a:ln>
              <a:effectLst/>
              <a:sp3d/>
            </c:spPr>
          </c:dPt>
          <c:dPt>
            <c:idx val="1"/>
            <c:bubble3D val="0"/>
            <c:spPr>
              <a:solidFill>
                <a:srgbClr val="CC99FF"/>
              </a:solidFill>
              <a:ln>
                <a:noFill/>
              </a:ln>
              <a:effectLst/>
              <a:sp3d/>
            </c:spPr>
          </c:dPt>
          <c:dPt>
            <c:idx val="2"/>
            <c:bubble3D val="0"/>
            <c:spPr>
              <a:solidFill>
                <a:srgbClr val="FFFF66"/>
              </a:solidFill>
              <a:ln>
                <a:solidFill>
                  <a:schemeClr val="tx1"/>
                </a:solidFill>
              </a:ln>
              <a:effectLst/>
              <a:sp3d>
                <a:contourClr>
                  <a:schemeClr val="tx1"/>
                </a:contourClr>
              </a:sp3d>
            </c:spPr>
          </c:dPt>
          <c:dPt>
            <c:idx val="3"/>
            <c:bubble3D val="0"/>
            <c:spPr>
              <a:solidFill>
                <a:srgbClr val="FF66CC"/>
              </a:solidFill>
              <a:ln>
                <a:noFill/>
              </a:ln>
              <a:effectLst/>
              <a:sp3d/>
            </c:spPr>
          </c:dPt>
          <c:dLbls>
            <c:dLbl>
              <c:idx val="0"/>
              <c:layout>
                <c:manualLayout>
                  <c:x val="-0.20869997957572381"/>
                  <c:y val="-4.3920762657971728E-2"/>
                </c:manualLayout>
              </c:layout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0.12845863779222719"/>
                  <c:y val="-1.6019748632742662E-3"/>
                </c:manualLayout>
              </c:layout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0.28544379945207587"/>
                  <c:y val="-0.18093094915998936"/>
                </c:manualLayout>
              </c:layout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0.21411192214111921"/>
                  <c:y val="5.9123625515973534E-2"/>
                </c:manualLayout>
              </c:layout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inEnd"/>
            <c:showLegendKey val="0"/>
            <c:showVal val="0"/>
            <c:showCatName val="1"/>
            <c:showSerName val="0"/>
            <c:showPercent val="1"/>
            <c:showBubbleSize val="0"/>
            <c:showLeaderLines val="1"/>
            <c:leaderLines>
              <c:spPr>
                <a:ln w="9525">
                  <a:solidFill>
                    <a:schemeClr val="tx1"/>
                  </a:solidFill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Лист1!$B$25:$B$28</c:f>
              <c:strCache>
                <c:ptCount val="4"/>
                <c:pt idx="0">
                  <c:v>Средства ФСР ЖКХ</c:v>
                </c:pt>
                <c:pt idx="1">
                  <c:v>Федеральный бюджет</c:v>
                </c:pt>
                <c:pt idx="2">
                  <c:v>Областной бюджет</c:v>
                </c:pt>
                <c:pt idx="3">
                  <c:v>Городской бюджет</c:v>
                </c:pt>
              </c:strCache>
            </c:strRef>
          </c:cat>
          <c:val>
            <c:numRef>
              <c:f>Лист1!$C$25:$C$28</c:f>
              <c:numCache>
                <c:formatCode>#,##0.00</c:formatCode>
                <c:ptCount val="4"/>
                <c:pt idx="0">
                  <c:v>65505.4</c:v>
                </c:pt>
                <c:pt idx="1">
                  <c:v>48791.5</c:v>
                </c:pt>
                <c:pt idx="2">
                  <c:v>741497.4</c:v>
                </c:pt>
                <c:pt idx="3">
                  <c:v>494633.9</c:v>
                </c:pt>
              </c:numCache>
            </c:numRef>
          </c:val>
        </c:ser>
        <c:dLbls>
          <c:dLblPos val="inEnd"/>
          <c:showLegendKey val="0"/>
          <c:showVal val="0"/>
          <c:showCatName val="1"/>
          <c:showSerName val="0"/>
          <c:showPercent val="0"/>
          <c:showBubbleSize val="0"/>
          <c:showLeaderLines val="1"/>
        </c:dLbls>
      </c:pie3DChart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3175" cap="flat" cmpd="sng" algn="ctr">
      <a:solidFill>
        <a:schemeClr val="tx1">
          <a:alpha val="60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 sz="1100" b="0" i="0" baseline="0">
                <a:solidFill>
                  <a:sysClr val="windowText" lastClr="000000"/>
                </a:solidFill>
                <a:effectLst/>
                <a:latin typeface="Times New Roman" panose="02020603050405020304" pitchFamily="18" charset="0"/>
                <a:cs typeface="Times New Roman" panose="02020603050405020304" pitchFamily="18" charset="0"/>
              </a:rPr>
              <a:t>Рис. 3. Финансирование программ в 2014 году по основным направлениям</a:t>
            </a:r>
            <a:endParaRPr lang="ru-RU" sz="1100">
              <a:solidFill>
                <a:sysClr val="windowText" lastClr="000000"/>
              </a:solidFill>
              <a:effectLst/>
              <a:latin typeface="Times New Roman" panose="02020603050405020304" pitchFamily="18" charset="0"/>
              <a:cs typeface="Times New Roman" panose="02020603050405020304" pitchFamily="18" charset="0"/>
            </a:endParaRPr>
          </a:p>
          <a:p>
            <a:pPr>
              <a:defRPr/>
            </a:pPr>
            <a:r>
              <a:rPr lang="ru-RU" sz="1100" b="0" i="0" baseline="0">
                <a:solidFill>
                  <a:sysClr val="windowText" lastClr="000000"/>
                </a:solidFill>
                <a:effectLst/>
                <a:latin typeface="Times New Roman" panose="02020603050405020304" pitchFamily="18" charset="0"/>
                <a:cs typeface="Times New Roman" panose="02020603050405020304" pitchFamily="18" charset="0"/>
              </a:rPr>
              <a:t> (% к общей сумме финансирования программной части)</a:t>
            </a:r>
            <a:endParaRPr lang="ru-RU" sz="1100">
              <a:solidFill>
                <a:sysClr val="windowText" lastClr="000000"/>
              </a:solidFill>
              <a:effectLst/>
              <a:latin typeface="Times New Roman" panose="02020603050405020304" pitchFamily="18" charset="0"/>
              <a:cs typeface="Times New Roman" panose="02020603050405020304" pitchFamily="18" charset="0"/>
            </a:endParaRPr>
          </a:p>
        </c:rich>
      </c:tx>
      <c:layout>
        <c:manualLayout>
          <c:xMode val="edge"/>
          <c:yMode val="edge"/>
          <c:x val="0.15214861729240367"/>
          <c:y val="0.8015135878912969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view3D>
      <c:rotX val="30"/>
      <c:rotY val="0"/>
      <c:depthPercent val="10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0.171104357368173"/>
          <c:y val="0.1844792233788114"/>
          <c:w val="0.67194168663699638"/>
          <c:h val="0.58663150852273493"/>
        </c:manualLayout>
      </c:layout>
      <c:pie3DChart>
        <c:varyColors val="1"/>
        <c:ser>
          <c:idx val="0"/>
          <c:order val="0"/>
          <c:spPr>
            <a:ln>
              <a:noFill/>
            </a:ln>
          </c:spPr>
          <c:dPt>
            <c:idx val="0"/>
            <c:bubble3D val="0"/>
            <c:spPr>
              <a:solidFill>
                <a:srgbClr val="FFFF66"/>
              </a:solidFill>
              <a:ln w="25400">
                <a:noFill/>
              </a:ln>
              <a:effectLst/>
              <a:sp3d/>
            </c:spPr>
          </c:dPt>
          <c:dPt>
            <c:idx val="1"/>
            <c:bubble3D val="0"/>
            <c:spPr>
              <a:solidFill>
                <a:srgbClr val="FF66CC"/>
              </a:solidFill>
              <a:ln w="25400">
                <a:noFill/>
              </a:ln>
              <a:effectLst/>
              <a:sp3d/>
            </c:spPr>
          </c:dPt>
          <c:dPt>
            <c:idx val="2"/>
            <c:bubble3D val="0"/>
            <c:spPr>
              <a:solidFill>
                <a:srgbClr val="33CCFF"/>
              </a:solidFill>
              <a:ln w="25400">
                <a:noFill/>
              </a:ln>
              <a:effectLst/>
              <a:sp3d/>
            </c:spPr>
          </c:dPt>
          <c:dPt>
            <c:idx val="3"/>
            <c:bubble3D val="0"/>
            <c:spPr>
              <a:solidFill>
                <a:srgbClr val="CC99FF"/>
              </a:solidFill>
              <a:ln w="25400">
                <a:noFill/>
              </a:ln>
              <a:effectLst/>
              <a:sp3d/>
            </c:spPr>
          </c:dPt>
          <c:dPt>
            <c:idx val="4"/>
            <c:bubble3D val="0"/>
            <c:spPr>
              <a:solidFill>
                <a:srgbClr val="FF6699"/>
              </a:solidFill>
              <a:ln w="25400">
                <a:noFill/>
              </a:ln>
              <a:effectLst/>
              <a:sp3d/>
            </c:spPr>
          </c:dPt>
          <c:dPt>
            <c:idx val="5"/>
            <c:bubble3D val="0"/>
            <c:spPr>
              <a:solidFill>
                <a:srgbClr val="FFCC66"/>
              </a:solidFill>
              <a:ln w="25400">
                <a:noFill/>
              </a:ln>
              <a:effectLst/>
              <a:sp3d/>
            </c:spPr>
          </c:dPt>
          <c:dPt>
            <c:idx val="6"/>
            <c:bubble3D val="0"/>
            <c:spPr>
              <a:solidFill>
                <a:srgbClr val="99FF99"/>
              </a:solidFill>
              <a:ln w="25400">
                <a:noFill/>
              </a:ln>
              <a:effectLst/>
              <a:sp3d/>
            </c:spPr>
          </c:dPt>
          <c:dLbls>
            <c:dLbl>
              <c:idx val="0"/>
              <c:layout>
                <c:manualLayout>
                  <c:x val="6.8847874955055094E-2"/>
                  <c:y val="-3.4399589370214166E-2"/>
                </c:manualLayout>
              </c:layout>
              <c:spPr>
                <a:solidFill>
                  <a:sysClr val="window" lastClr="FFFFFF"/>
                </a:solidFill>
                <a:ln w="9525" cap="flat" cmpd="sng" algn="ctr">
                  <a:noFill/>
                  <a:prstDash val="solid"/>
                  <a:round/>
                  <a:headEnd type="none" w="med" len="med"/>
                  <a:tailEnd type="none" w="med" len="med"/>
                </a:ln>
                <a:effectLst/>
              </c:spPr>
              <c:txPr>
                <a:bodyPr rot="0" spcFirstLastPara="1" vertOverflow="clip" horzOverflow="clip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ysClr val="windowText" lastClr="000000"/>
                      </a:solidFill>
                      <a:latin typeface="Times New Roman" panose="02020603050405020304" pitchFamily="18" charset="0"/>
                      <a:ea typeface="+mn-ea"/>
                      <a:cs typeface="Times New Roman" panose="02020603050405020304" pitchFamily="18" charset="0"/>
                    </a:defRPr>
                  </a:pPr>
                  <a:endParaRPr lang="ru-RU"/>
                </a:p>
              </c:txPr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spPr xmlns:c15="http://schemas.microsoft.com/office/drawing/2012/chart">
                    <a:prstGeom prst="wedgeRectCallout">
                      <a:avLst>
                        <a:gd name="adj1" fmla="val -35280"/>
                        <a:gd name="adj2" fmla="val 27027"/>
                      </a:avLst>
                    </a:prstGeom>
                    <a:noFill/>
                    <a:ln>
                      <a:noFill/>
                    </a:ln>
                  </c15:spPr>
                  <c15:layout>
                    <c:manualLayout>
                      <c:w val="0.23522918330860818"/>
                      <c:h val="0.11822291563399777"/>
                    </c:manualLayout>
                  </c15:layout>
                </c:ext>
              </c:extLst>
            </c:dLbl>
            <c:dLbl>
              <c:idx val="1"/>
              <c:layout>
                <c:manualLayout>
                  <c:x val="0.11534124421245097"/>
                  <c:y val="-1.576635840002476E-17"/>
                </c:manualLayout>
              </c:layout>
              <c:spPr>
                <a:solidFill>
                  <a:sysClr val="window" lastClr="FFFFFF"/>
                </a:solidFill>
                <a:ln w="9525" cap="flat" cmpd="sng" algn="ctr">
                  <a:noFill/>
                  <a:prstDash val="solid"/>
                  <a:round/>
                  <a:headEnd type="none" w="med" len="med"/>
                  <a:tailEnd type="none" w="med" len="med"/>
                </a:ln>
                <a:effectLst/>
              </c:spPr>
              <c:txPr>
                <a:bodyPr rot="0" spcFirstLastPara="1" vertOverflow="clip" horzOverflow="clip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ysClr val="windowText" lastClr="000000"/>
                      </a:solidFill>
                      <a:latin typeface="Times New Roman" panose="02020603050405020304" pitchFamily="18" charset="0"/>
                      <a:ea typeface="+mn-ea"/>
                      <a:cs typeface="Times New Roman" panose="02020603050405020304" pitchFamily="18" charset="0"/>
                    </a:defRPr>
                  </a:pPr>
                  <a:endParaRPr lang="ru-RU"/>
                </a:p>
              </c:txPr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spPr xmlns:c15="http://schemas.microsoft.com/office/drawing/2012/chart">
                    <a:prstGeom prst="wedgeRectCallout">
                      <a:avLst>
                        <a:gd name="adj1" fmla="val -35613"/>
                        <a:gd name="adj2" fmla="val 11112"/>
                      </a:avLst>
                    </a:prstGeom>
                    <a:noFill/>
                    <a:ln>
                      <a:noFill/>
                    </a:ln>
                  </c15:spPr>
                </c:ext>
              </c:extLst>
            </c:dLbl>
            <c:dLbl>
              <c:idx val="2"/>
              <c:layout>
                <c:manualLayout>
                  <c:x val="4.7641599147930811E-3"/>
                  <c:y val="1.7199862401100791E-2"/>
                </c:manualLayout>
              </c:layout>
              <c:spPr>
                <a:solidFill>
                  <a:sysClr val="window" lastClr="FFFFFF"/>
                </a:solidFill>
                <a:ln w="9525" cap="flat" cmpd="sng" algn="ctr">
                  <a:noFill/>
                  <a:prstDash val="solid"/>
                  <a:round/>
                  <a:headEnd type="none" w="med" len="med"/>
                  <a:tailEnd type="none" w="med" len="med"/>
                </a:ln>
                <a:effectLst/>
              </c:spPr>
              <c:txPr>
                <a:bodyPr rot="0" spcFirstLastPara="1" vertOverflow="clip" horzOverflow="clip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ysClr val="windowText" lastClr="000000"/>
                      </a:solidFill>
                      <a:latin typeface="Times New Roman" panose="02020603050405020304" pitchFamily="18" charset="0"/>
                      <a:ea typeface="+mn-ea"/>
                      <a:cs typeface="Times New Roman" panose="02020603050405020304" pitchFamily="18" charset="0"/>
                    </a:defRPr>
                  </a:pPr>
                  <a:endParaRPr lang="ru-RU"/>
                </a:p>
              </c:txPr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spPr xmlns:c15="http://schemas.microsoft.com/office/drawing/2012/chart">
                    <a:prstGeom prst="wedgeRectCallout">
                      <a:avLst>
                        <a:gd name="adj1" fmla="val -29329"/>
                        <a:gd name="adj2" fmla="val 14220"/>
                      </a:avLst>
                    </a:prstGeom>
                    <a:noFill/>
                    <a:ln>
                      <a:noFill/>
                    </a:ln>
                  </c15:spPr>
                  <c15:layout>
                    <c:manualLayout>
                      <c:w val="0.16015843128304613"/>
                      <c:h val="0.18167659383134382"/>
                    </c:manualLayout>
                  </c15:layout>
                </c:ext>
              </c:extLst>
            </c:dLbl>
            <c:dLbl>
              <c:idx val="3"/>
              <c:layout>
                <c:manualLayout>
                  <c:x val="0.11713030746705706"/>
                  <c:y val="-0.33975084937712347"/>
                </c:manualLayout>
              </c:layout>
              <c:spPr>
                <a:solidFill>
                  <a:sysClr val="window" lastClr="FFFFFF"/>
                </a:solidFill>
                <a:ln w="9525" cap="flat" cmpd="sng" algn="ctr">
                  <a:noFill/>
                  <a:prstDash val="solid"/>
                  <a:round/>
                  <a:headEnd type="none" w="med" len="med"/>
                  <a:tailEnd type="none" w="med" len="med"/>
                </a:ln>
                <a:effectLst/>
              </c:spPr>
              <c:txPr>
                <a:bodyPr rot="0" spcFirstLastPara="1" vertOverflow="clip" horzOverflow="clip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ysClr val="windowText" lastClr="000000"/>
                      </a:solidFill>
                      <a:latin typeface="Times New Roman" panose="02020603050405020304" pitchFamily="18" charset="0"/>
                      <a:ea typeface="+mn-ea"/>
                      <a:cs typeface="Times New Roman" panose="02020603050405020304" pitchFamily="18" charset="0"/>
                    </a:defRPr>
                  </a:pPr>
                  <a:endParaRPr lang="ru-RU"/>
                </a:p>
              </c:txPr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spPr xmlns:c15="http://schemas.microsoft.com/office/drawing/2012/chart">
                    <a:prstGeom prst="wedgeRectCallout">
                      <a:avLst>
                        <a:gd name="adj1" fmla="val 21445"/>
                        <a:gd name="adj2" fmla="val 50295"/>
                      </a:avLst>
                    </a:prstGeom>
                    <a:noFill/>
                    <a:ln>
                      <a:noFill/>
                    </a:ln>
                  </c15:spPr>
                </c:ext>
              </c:extLst>
            </c:dLbl>
            <c:dLbl>
              <c:idx val="4"/>
              <c:layout>
                <c:manualLayout>
                  <c:x val="-1.4907375708471223E-2"/>
                  <c:y val="-4.1279669762641934E-2"/>
                </c:manualLayout>
              </c:layout>
              <c:spPr>
                <a:solidFill>
                  <a:sysClr val="window" lastClr="FFFFFF"/>
                </a:solidFill>
                <a:ln w="9525" cap="flat" cmpd="sng" algn="ctr">
                  <a:noFill/>
                  <a:prstDash val="solid"/>
                  <a:round/>
                  <a:headEnd type="none" w="med" len="med"/>
                  <a:tailEnd type="none" w="med" len="med"/>
                </a:ln>
                <a:effectLst/>
              </c:spPr>
              <c:txPr>
                <a:bodyPr rot="0" spcFirstLastPara="1" vertOverflow="clip" horzOverflow="clip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ysClr val="windowText" lastClr="000000"/>
                      </a:solidFill>
                      <a:latin typeface="Times New Roman" panose="02020603050405020304" pitchFamily="18" charset="0"/>
                      <a:ea typeface="+mn-ea"/>
                      <a:cs typeface="Times New Roman" panose="02020603050405020304" pitchFamily="18" charset="0"/>
                    </a:defRPr>
                  </a:pPr>
                  <a:endParaRPr lang="ru-RU"/>
                </a:p>
              </c:txPr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spPr xmlns:c15="http://schemas.microsoft.com/office/drawing/2012/chart">
                    <a:prstGeom prst="wedgeRectCallout">
                      <a:avLst>
                        <a:gd name="adj1" fmla="val 19164"/>
                        <a:gd name="adj2" fmla="val -22312"/>
                      </a:avLst>
                    </a:prstGeom>
                    <a:noFill/>
                    <a:ln>
                      <a:noFill/>
                    </a:ln>
                  </c15:spPr>
                </c:ext>
              </c:extLst>
            </c:dLbl>
            <c:dLbl>
              <c:idx val="5"/>
              <c:layout>
                <c:manualLayout>
                  <c:x val="-8.6111111111111124E-2"/>
                  <c:y val="-7.4074074074074084E-2"/>
                </c:manualLayout>
              </c:layout>
              <c:spPr>
                <a:solidFill>
                  <a:sysClr val="window" lastClr="FFFFFF"/>
                </a:solidFill>
                <a:ln w="9525" cap="flat" cmpd="sng" algn="ctr">
                  <a:noFill/>
                  <a:prstDash val="solid"/>
                  <a:round/>
                  <a:headEnd type="none" w="med" len="med"/>
                  <a:tailEnd type="none" w="med" len="med"/>
                </a:ln>
                <a:effectLst/>
              </c:spPr>
              <c:txPr>
                <a:bodyPr rot="0" spcFirstLastPara="1" vertOverflow="clip" horzOverflow="clip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ysClr val="windowText" lastClr="000000"/>
                      </a:solidFill>
                      <a:latin typeface="Times New Roman" panose="02020603050405020304" pitchFamily="18" charset="0"/>
                      <a:ea typeface="+mn-ea"/>
                      <a:cs typeface="Times New Roman" panose="02020603050405020304" pitchFamily="18" charset="0"/>
                    </a:defRPr>
                  </a:pPr>
                  <a:endParaRPr lang="ru-RU"/>
                </a:p>
              </c:txPr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spPr xmlns:c15="http://schemas.microsoft.com/office/drawing/2012/chart">
                    <a:prstGeom prst="wedgeRectCallout">
                      <a:avLst>
                        <a:gd name="adj1" fmla="val 32705"/>
                        <a:gd name="adj2" fmla="val 5707"/>
                      </a:avLst>
                    </a:prstGeom>
                    <a:noFill/>
                    <a:ln>
                      <a:noFill/>
                    </a:ln>
                  </c15:spPr>
                </c:ext>
              </c:extLst>
            </c:dLbl>
            <c:dLbl>
              <c:idx val="6"/>
              <c:layout>
                <c:manualLayout>
                  <c:x val="-6.8326012689116686E-2"/>
                  <c:y val="-1.5100037750094367E-2"/>
                </c:manualLayout>
              </c:layout>
              <c:spPr>
                <a:solidFill>
                  <a:sysClr val="window" lastClr="FFFFFF"/>
                </a:solidFill>
                <a:ln w="9525" cap="flat" cmpd="sng" algn="ctr">
                  <a:noFill/>
                  <a:prstDash val="solid"/>
                  <a:round/>
                  <a:headEnd type="none" w="med" len="med"/>
                  <a:tailEnd type="none" w="med" len="med"/>
                </a:ln>
                <a:effectLst/>
              </c:spPr>
              <c:txPr>
                <a:bodyPr rot="0" spcFirstLastPara="1" vertOverflow="clip" horzOverflow="clip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ysClr val="windowText" lastClr="000000"/>
                      </a:solidFill>
                      <a:latin typeface="Times New Roman" panose="02020603050405020304" pitchFamily="18" charset="0"/>
                      <a:ea typeface="+mn-ea"/>
                      <a:cs typeface="Times New Roman" panose="02020603050405020304" pitchFamily="18" charset="0"/>
                    </a:defRPr>
                  </a:pPr>
                  <a:endParaRPr lang="ru-RU"/>
                </a:p>
              </c:txPr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spPr xmlns:c15="http://schemas.microsoft.com/office/drawing/2012/chart">
                    <a:prstGeom prst="wedgeRectCallout">
                      <a:avLst>
                        <a:gd name="adj1" fmla="val 20244"/>
                        <a:gd name="adj2" fmla="val 4988"/>
                      </a:avLst>
                    </a:prstGeom>
                    <a:noFill/>
                    <a:ln>
                      <a:noFill/>
                    </a:ln>
                  </c15:spPr>
                </c:ext>
              </c:extLst>
            </c:dLbl>
            <c:spPr>
              <a:solidFill>
                <a:sysClr val="window" lastClr="FFFFFF"/>
              </a:solidFill>
              <a:ln>
                <a:noFill/>
              </a:ln>
              <a:effectLst/>
            </c:spPr>
            <c:txPr>
              <a:bodyPr rot="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outEnd"/>
            <c:showLegendKey val="0"/>
            <c:showVal val="0"/>
            <c:showCatName val="1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/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>
                <c15:spPr xmlns:c15="http://schemas.microsoft.com/office/drawing/2012/chart">
                  <a:prstGeom prst="wedgeRectCallout">
                    <a:avLst/>
                  </a:prstGeom>
                  <a:noFill/>
                  <a:ln>
                    <a:noFill/>
                  </a:ln>
                </c15:spPr>
              </c:ext>
            </c:extLst>
          </c:dLbls>
          <c:cat>
            <c:strRef>
              <c:f>Лист1!$B$45:$B$51</c:f>
              <c:strCache>
                <c:ptCount val="7"/>
                <c:pt idx="0">
                  <c:v>Общегосударственные вопросы</c:v>
                </c:pt>
                <c:pt idx="1">
                  <c:v>Национальная экономика</c:v>
                </c:pt>
                <c:pt idx="2">
                  <c:v>Жилищно-коммунальное хозяйство</c:v>
                </c:pt>
                <c:pt idx="3">
                  <c:v>Образование</c:v>
                </c:pt>
                <c:pt idx="4">
                  <c:v>Культура и кинематография</c:v>
                </c:pt>
                <c:pt idx="5">
                  <c:v>Социальная политика</c:v>
                </c:pt>
                <c:pt idx="6">
                  <c:v>Физическая культура и спорт</c:v>
                </c:pt>
              </c:strCache>
            </c:strRef>
          </c:cat>
          <c:val>
            <c:numRef>
              <c:f>Лист1!$C$45:$C$51</c:f>
              <c:numCache>
                <c:formatCode>#,##0.00</c:formatCode>
                <c:ptCount val="7"/>
                <c:pt idx="0">
                  <c:v>86148.800000000003</c:v>
                </c:pt>
                <c:pt idx="1">
                  <c:v>121304</c:v>
                </c:pt>
                <c:pt idx="2">
                  <c:v>209549.4</c:v>
                </c:pt>
                <c:pt idx="3">
                  <c:v>618204.5</c:v>
                </c:pt>
                <c:pt idx="4">
                  <c:v>21681.599999999999</c:v>
                </c:pt>
                <c:pt idx="5">
                  <c:v>239971.8</c:v>
                </c:pt>
                <c:pt idx="6">
                  <c:v>54059.1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3175" cap="flat" cmpd="sng" algn="ctr">
      <a:solidFill>
        <a:schemeClr val="tx1">
          <a:alpha val="60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1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 cap="all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b="0" kern="1200" cap="none" spc="0" normalizeH="0" baseline="0"/>
  </cs:categoryAxis>
  <cs:chartArea mods="allowNoFillOverride allowNoLineOverride">
    <cs:lnRef idx="0"/>
    <cs:fillRef idx="0"/>
    <cs:effectRef idx="0"/>
    <cs:fontRef idx="minor">
      <a:schemeClr val="dk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75000"/>
        <a:lumOff val="25000"/>
      </a:schemeClr>
    </cs:fontRef>
    <cs:spPr>
      <a:solidFill>
        <a:schemeClr val="dk1">
          <a:lumMod val="15000"/>
          <a:lumOff val="85000"/>
        </a:schemeClr>
      </a:solidFill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38100" cap="rnd">
        <a:solidFill>
          <a:schemeClr val="phClr"/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Marker>
  <cs:dataPointMarkerLayout symbol="circle" size="8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ln w="9525">
        <a:solidFill>
          <a:schemeClr val="tx1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>
        <a:solidFill>
          <a:schemeClr val="tx1">
            <a:lumMod val="50000"/>
            <a:lumOff val="50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50000"/>
            <a:lumOff val="50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tx1">
            <a:lumMod val="50000"/>
            <a:lumOff val="50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dk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50000"/>
            <a:lumOff val="50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dk1"/>
    </cs:fontRef>
  </cs:plotArea>
  <cs:plotArea3D mods="allowNoFillOverride allowNoLineOverride"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ajor">
      <a:schemeClr val="tx1">
        <a:lumMod val="65000"/>
        <a:lumOff val="35000"/>
      </a:schemeClr>
    </cs:fontRef>
    <cs:defRPr sz="2000" b="0" kern="1200" cap="none" spc="0" normalizeH="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  <a:round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50000"/>
            <a:lumOff val="50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charts/style2.xml><?xml version="1.0" encoding="utf-8"?>
<cs:chartStyle xmlns:cs="http://schemas.microsoft.com/office/drawing/2012/chartStyle" xmlns:a="http://schemas.openxmlformats.org/drawingml/2006/main" id="265">
  <cs:axisTitle>
    <cs:lnRef idx="0"/>
    <cs:fillRef idx="0"/>
    <cs:effectRef idx="0"/>
    <cs:fontRef idx="minor">
      <a:schemeClr val="tx1">
        <a:lumMod val="50000"/>
        <a:lumOff val="50000"/>
      </a:schemeClr>
    </cs:fontRef>
    <cs:defRPr sz="900" kern="1200" cap="all"/>
  </cs:axisTitle>
  <cs:categoryAxis>
    <cs:lnRef idx="0"/>
    <cs:fillRef idx="0"/>
    <cs:effectRef idx="0"/>
    <cs:fontRef idx="minor">
      <a:schemeClr val="tx1">
        <a:lumMod val="50000"/>
        <a:lumOff val="50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dk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>
      <cs:styleClr val="auto"/>
    </cs:lnRef>
    <cs:fillRef idx="2">
      <cs:styleClr val="auto"/>
    </cs:fillRef>
    <cs:effectRef idx="1"/>
    <cs:fontRef idx="minor">
      <a:schemeClr val="dk1"/>
    </cs:fontRef>
    <cs:spPr>
      <a:ln w="9525" cap="flat" cmpd="sng" algn="ctr">
        <a:solidFill>
          <a:schemeClr val="phClr">
            <a:shade val="95000"/>
          </a:schemeClr>
        </a:solidFill>
        <a:round/>
      </a:ln>
    </cs:spPr>
  </cs:dataPoint>
  <cs:dataPoint3D>
    <cs:lnRef idx="0"/>
    <cs:fillRef idx="2">
      <cs:styleClr val="auto"/>
    </cs:fillRef>
    <cs:effectRef idx="1"/>
    <cs:fontRef idx="minor">
      <a:schemeClr val="dk1"/>
    </cs:fontRef>
    <cs:spPr/>
  </cs:dataPoint3D>
  <cs:dataPointLine>
    <cs:lnRef idx="0">
      <cs:styleClr val="auto"/>
    </cs:lnRef>
    <cs:fillRef idx="2">
      <cs:styleClr val="auto"/>
    </cs:fillRef>
    <cs:effectRef idx="1"/>
    <cs:fontRef idx="minor">
      <a:schemeClr val="dk1"/>
    </cs:fontRef>
    <cs:spPr>
      <a:ln w="158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2">
      <cs:styleClr val="auto"/>
    </cs:fillRef>
    <cs:effectRef idx="1"/>
    <cs:fontRef idx="minor">
      <a:schemeClr val="dk1"/>
    </cs:fontRef>
    <cs:spPr>
      <a:ln w="9525" cap="flat" cmpd="sng" algn="ctr">
        <a:solidFill>
          <a:schemeClr val="phClr">
            <a:shade val="95000"/>
          </a:schemeClr>
        </a:solidFill>
        <a:round/>
      </a:ln>
    </cs:spPr>
  </cs:dataPointMarker>
  <cs:dataPointMarkerLayout symbol="circle" size="4"/>
  <cs:dataPointWireframe>
    <cs:lnRef idx="0">
      <cs:styleClr val="auto"/>
    </cs:lnRef>
    <cs:fillRef idx="2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50000"/>
        <a:lumOff val="50000"/>
      </a:schemeClr>
    </cs:fontRef>
    <cs:spPr>
      <a:ln w="9525">
        <a:solidFill>
          <a:schemeClr val="tx1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>
        <a:solidFill>
          <a:schemeClr val="tx1">
            <a:lumMod val="50000"/>
            <a:lumOff val="50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tx1">
            <a:lumMod val="50000"/>
            <a:lumOff val="50000"/>
          </a:schemeClr>
        </a:solidFill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dk1"/>
    </cs:fontRef>
    <cs:spPr>
      <a:ln>
        <a:solidFill>
          <a:schemeClr val="tx1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50000"/>
            <a:lumOff val="50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1">
        <a:lumMod val="50000"/>
        <a:lumOff val="50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dk1"/>
    </cs:fontRef>
  </cs:plotArea>
  <cs:plotArea3D mods="allowNoFillOverride allowNoLineOverride"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tx1">
        <a:lumMod val="50000"/>
        <a:lumOff val="50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prstDash val="dash"/>
      </a:ln>
    </cs:spPr>
  </cs:seriesLine>
  <cs:title>
    <cs:lnRef idx="0"/>
    <cs:fillRef idx="0"/>
    <cs:effectRef idx="0"/>
    <cs:fontRef idx="minor">
      <a:schemeClr val="tx1">
        <a:lumMod val="50000"/>
        <a:lumOff val="50000"/>
      </a:schemeClr>
    </cs:fontRef>
    <cs:defRPr sz="1400" kern="1200" cap="none" spc="20" baseline="0"/>
  </cs:title>
  <cs:trendline>
    <cs:lnRef idx="0">
      <cs:styleClr val="auto"/>
    </cs:lnRef>
    <cs:fillRef idx="2"/>
    <cs:effectRef idx="0"/>
    <cs:fontRef idx="minor">
      <a:schemeClr val="dk1"/>
    </cs:fontRef>
    <cs:spPr>
      <a:ln w="9525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50000"/>
        <a:lumOff val="50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50000"/>
            <a:lumOff val="50000"/>
          </a:schemeClr>
        </a:solidFill>
      </a:ln>
    </cs:spPr>
  </cs:upBar>
  <cs:valueAxis>
    <cs:lnRef idx="0"/>
    <cs:fillRef idx="0"/>
    <cs:effectRef idx="0"/>
    <cs:fontRef idx="minor">
      <a:schemeClr val="tx1">
        <a:lumMod val="50000"/>
        <a:lumOff val="50000"/>
      </a:schemeClr>
    </cs:fontRef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charts/style3.xml><?xml version="1.0" encoding="utf-8"?>
<cs:chartStyle xmlns:cs="http://schemas.microsoft.com/office/drawing/2012/chartStyle" xmlns:a="http://schemas.openxmlformats.org/drawingml/2006/main" id="26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0.02086</cdr:x>
      <cdr:y>0.4273</cdr:y>
    </cdr:from>
    <cdr:to>
      <cdr:x>0.1997</cdr:x>
      <cdr:y>0.69367</cdr:y>
    </cdr:to>
    <cdr:sp macro="" textlink="">
      <cdr:nvSpPr>
        <cdr:cNvPr id="2" name="TextBox 1"/>
        <cdr:cNvSpPr txBox="1"/>
      </cdr:nvSpPr>
      <cdr:spPr>
        <a:xfrm xmlns:a="http://schemas.openxmlformats.org/drawingml/2006/main">
          <a:off x="106680" y="1466850"/>
          <a:ext cx="914400" cy="91440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endParaRPr lang="ru-RU" sz="1100"/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591</TotalTime>
  <Pages>3</Pages>
  <Words>670</Words>
  <Characters>3823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komp</dc:creator>
  <cp:lastModifiedBy>komp</cp:lastModifiedBy>
  <cp:revision>12</cp:revision>
  <dcterms:created xsi:type="dcterms:W3CDTF">2015-05-19T12:21:00Z</dcterms:created>
  <dcterms:modified xsi:type="dcterms:W3CDTF">2015-06-08T10:07:00Z</dcterms:modified>
</cp:coreProperties>
</file>